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5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The 4-line move case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I Changed Career Tracks Without Starting Over. Here's What I Carried With Me.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3:52 PM CT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SHORTER RETENTION TEST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None. This video names no resource and none is added.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Choose ONE move you are considering.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Carry. Remove the employer name, the old title and the industry language, then write which parts of your experience would still help solve the destination problem.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Translate. Write the same capability in the destination's terms. What you had to notice, what decision you supported, what changed.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Relearn. Name the genuine gap accurately. Systems, regulation, domain language, relationships, credentials.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Prove. Write one example that supports the level you are claiming, not the duration or the title.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A career-track change can lower your leverage in some areas.</w:t>
      </w:r>
    </w:p>
    <w:p>
      <w:pPr>
        <w:spacing w:after="80" w:line="278" w:lineRule="auto"/>
        <w:ind w:left="547" w:hanging="230"/>
      </w:pPr>
      <w:r>
        <w:rPr>
          <w:sz w:val="21"/>
        </w:rPr>
        <w:t>•   Do not rename a real domain or credential requirement as a transferable skill.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5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