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10080"/>
      </w:tblGrid>
      <w:tr>
        <w:tc>
          <w:tcPr>
            <w:tcW w:type="dxa" w:w="10080"/>
            <w:shd w:val="clear" w:fill="0F2347"/>
          </w:tcPr>
          <w:p>
            <w:pPr>
              <w:spacing w:after="40" w:before="80"/>
            </w:pPr>
            <w:r>
              <w:rPr>
                <w:rFonts w:ascii="Calibri" w:hAnsi="Calibri"/>
                <w:b/>
                <w:color w:val="FFFFFF"/>
                <w:sz w:val="19"/>
              </w:rPr>
              <w:t>A CAPABILITY FORMATION WORKSHOP</w:t>
            </w:r>
          </w:p>
          <w:p>
            <w:pPr>
              <w:spacing w:after="40"/>
            </w:pPr>
            <w:r>
              <w:rPr>
                <w:b/>
                <w:color w:val="FFFFFF"/>
                <w:sz w:val="38"/>
              </w:rPr>
              <w:t>30-Day Evidence Review — Facilitator Guide</w:t>
            </w:r>
          </w:p>
          <w:p>
            <w:pPr>
              <w:spacing w:after="120"/>
            </w:pPr>
            <w:r>
              <w:rPr>
                <w:i/>
                <w:color w:val="E3D9C4"/>
                <w:sz w:val="22"/>
              </w:rPr>
              <w:t>Decide Whether to Stay or Leave Your Job</w:t>
            </w:r>
          </w:p>
        </w:tc>
      </w:tr>
    </w:tbl>
    <w:p>
      <w:pPr>
        <w:spacing w:after="80"/>
      </w:pPr>
    </w:p>
    <w:tbl>
      <w:tblPr>
        <w:tblW w:type="auto" w:w="0"/>
        <w:tblLayout w:type="fixed"/>
        <w:tblLook w:firstColumn="1" w:firstRow="1" w:lastColumn="0" w:lastRow="0" w:noHBand="0" w:noVBand="1" w:val="04A0"/>
      </w:tblPr>
      <w:tblGrid>
        <w:gridCol w:w="5040"/>
        <w:gridCol w:w="5040"/>
      </w:tblGrid>
      <w:tr>
        <w:tc>
          <w:tcPr>
            <w:tcW w:type="dxa" w:w="2880"/>
          </w:tcPr>
          <w:p>
            <w:r/>
            <w:r>
              <w:rPr>
                <w:b/>
                <w:sz w:val="19"/>
              </w:rPr>
              <w:t>Date</w:t>
            </w:r>
          </w:p>
        </w:tc>
        <w:tc>
          <w:tcPr>
            <w:tcW w:type="dxa" w:w="6480"/>
          </w:tcPr>
          <w:p>
            <w:r/>
            <w:r>
              <w:rPr>
                <w:sz w:val="19"/>
              </w:rPr>
              <w:t>Thursday, October 8, 2026</w:t>
            </w:r>
          </w:p>
        </w:tc>
      </w:tr>
      <w:tr>
        <w:tc>
          <w:tcPr>
            <w:tcW w:type="dxa" w:w="2880"/>
          </w:tcPr>
          <w:p>
            <w:r/>
            <w:r>
              <w:rPr>
                <w:b/>
                <w:sz w:val="19"/>
              </w:rPr>
              <w:t>Time</w:t>
            </w:r>
          </w:p>
        </w:tc>
        <w:tc>
          <w:tcPr>
            <w:tcW w:type="dxa" w:w="6480"/>
          </w:tcPr>
          <w:p>
            <w:r/>
            <w:r>
              <w:rPr>
                <w:sz w:val="19"/>
              </w:rPr>
              <w:t>6:00–6:45 PM CT  (45 minutes)</w:t>
            </w:r>
          </w:p>
        </w:tc>
      </w:tr>
      <w:tr>
        <w:tc>
          <w:tcPr>
            <w:tcW w:type="dxa" w:w="2880"/>
          </w:tcPr>
          <w:p>
            <w:r/>
            <w:r>
              <w:rPr>
                <w:b/>
                <w:sz w:val="19"/>
              </w:rPr>
              <w:t>Facilitator</w:t>
            </w:r>
          </w:p>
        </w:tc>
        <w:tc>
          <w:tcPr>
            <w:tcW w:type="dxa" w:w="6480"/>
          </w:tcPr>
          <w:p>
            <w:r/>
            <w:r>
              <w:rPr>
                <w:sz w:val="19"/>
              </w:rPr>
              <w:t>Temidayo Afonja — solo, no recording</w:t>
            </w:r>
          </w:p>
        </w:tc>
      </w:tr>
    </w:tbl>
    <w:p>
      <w:pPr>
        <w:spacing w:after="80"/>
      </w:pPr>
    </w:p>
    <w:p>
      <w:pPr>
        <w:keepNext/>
        <w:spacing w:before="280" w:after="80"/>
      </w:pPr>
      <w:r>
        <w:rPr>
          <w:b/>
          <w:color w:val="0F2347"/>
          <w:sz w:val="25"/>
        </w:rPr>
        <w:t>Purpose</w:t>
      </w:r>
    </w:p>
    <w:p>
      <w:pPr>
        <w:spacing w:after="120"/>
      </w:pPr>
      <w:r>
        <w:rPr>
          <w:b w:val="0"/>
          <w:i w:val="0"/>
          <w:color w:val="000000"/>
          <w:sz w:val="21"/>
        </w:rPr>
        <w:t>The Evidence Review does NOT rerun the complete instrument. It helps participants:</w:t>
      </w:r>
    </w:p>
    <w:p>
      <w:pPr>
        <w:pStyle w:val="ListBullet"/>
        <w:spacing w:after="60"/>
      </w:pPr>
      <w:r>
        <w:rPr>
          <w:color w:val="000000"/>
          <w:sz w:val="21"/>
        </w:rPr>
        <w:t>examine evidence gathered since September 10;</w:t>
      </w:r>
    </w:p>
    <w:p>
      <w:pPr>
        <w:pStyle w:val="ListBullet"/>
        <w:spacing w:after="60"/>
      </w:pPr>
      <w:r>
        <w:rPr>
          <w:color w:val="000000"/>
          <w:sz w:val="21"/>
        </w:rPr>
        <w:t>determine whether the original move category still holds;</w:t>
      </w:r>
    </w:p>
    <w:p>
      <w:pPr>
        <w:pStyle w:val="ListBullet"/>
        <w:spacing w:after="60"/>
      </w:pPr>
      <w:r>
        <w:rPr>
          <w:color w:val="000000"/>
          <w:sz w:val="21"/>
        </w:rPr>
        <w:t>revise the next action, evidence condition, or conversation where needed;</w:t>
      </w:r>
    </w:p>
    <w:p>
      <w:pPr>
        <w:pStyle w:val="ListBullet"/>
        <w:spacing w:after="60"/>
      </w:pPr>
      <w:r>
        <w:rPr>
          <w:color w:val="000000"/>
          <w:sz w:val="21"/>
        </w:rPr>
        <w:t>prepare for the 90-day rescore.</w:t>
      </w:r>
    </w:p>
    <w:p>
      <w:pPr>
        <w:spacing w:after="80"/>
      </w:pPr>
    </w:p>
    <w:p>
      <w:pPr>
        <w:spacing w:after="160"/>
      </w:pPr>
      <w:r>
        <w:rPr>
          <w:b/>
          <w:color w:val="996600"/>
          <w:sz w:val="21"/>
        </w:rPr>
        <w:t xml:space="preserve">Framing:  </w:t>
      </w:r>
      <w:r>
        <w:rPr>
          <w:color w:val="000000"/>
          <w:sz w:val="21"/>
        </w:rPr>
        <w:t>“The purpose today is not to prove that your first reading was right or wrong. It is to see what the last 30 days added to the evidence.”</w:t>
      </w:r>
    </w:p>
    <w:p>
      <w:pPr>
        <w:keepNext/>
        <w:spacing w:before="280" w:after="80"/>
      </w:pPr>
      <w:r>
        <w:rPr>
          <w:b/>
          <w:color w:val="0F2347"/>
          <w:sz w:val="25"/>
        </w:rPr>
        <w:t>Do not</w:t>
      </w:r>
    </w:p>
    <w:p>
      <w:pPr>
        <w:pStyle w:val="ListBullet"/>
        <w:spacing w:after="60"/>
      </w:pPr>
      <w:r>
        <w:rPr>
          <w:color w:val="000000"/>
          <w:sz w:val="21"/>
        </w:rPr>
        <w:t>rerun all 12 statements;</w:t>
      </w:r>
    </w:p>
    <w:p>
      <w:pPr>
        <w:pStyle w:val="ListBullet"/>
        <w:spacing w:after="60"/>
      </w:pPr>
      <w:r>
        <w:rPr>
          <w:color w:val="000000"/>
          <w:sz w:val="21"/>
        </w:rPr>
        <w:t>recalculate everyone's state;</w:t>
      </w:r>
    </w:p>
    <w:p>
      <w:pPr>
        <w:pStyle w:val="ListBullet"/>
        <w:spacing w:after="60"/>
      </w:pPr>
      <w:r>
        <w:rPr>
          <w:color w:val="000000"/>
          <w:sz w:val="21"/>
        </w:rPr>
        <w:t>ask for scores;</w:t>
      </w:r>
    </w:p>
    <w:p>
      <w:pPr>
        <w:pStyle w:val="ListBullet"/>
        <w:spacing w:after="60"/>
      </w:pPr>
      <w:r>
        <w:rPr>
          <w:color w:val="000000"/>
          <w:sz w:val="21"/>
        </w:rPr>
        <w:t>ask participants to disclose employer;</w:t>
      </w:r>
    </w:p>
    <w:p>
      <w:pPr>
        <w:pStyle w:val="ListBullet"/>
        <w:spacing w:after="60"/>
      </w:pPr>
      <w:r>
        <w:rPr>
          <w:color w:val="000000"/>
          <w:sz w:val="21"/>
        </w:rPr>
        <w:t>prescribe a move;</w:t>
      </w:r>
    </w:p>
    <w:p>
      <w:pPr>
        <w:pStyle w:val="ListBullet"/>
        <w:spacing w:after="60"/>
      </w:pPr>
      <w:r>
        <w:rPr>
          <w:color w:val="000000"/>
          <w:sz w:val="21"/>
        </w:rPr>
        <w:t>treat changed evidence as success;</w:t>
      </w:r>
    </w:p>
    <w:p>
      <w:pPr>
        <w:pStyle w:val="ListBullet"/>
        <w:spacing w:after="60"/>
      </w:pPr>
      <w:r>
        <w:rPr>
          <w:color w:val="000000"/>
          <w:sz w:val="21"/>
        </w:rPr>
        <w:t>treat unchanged evidence as failure.</w:t>
      </w:r>
    </w:p>
    <w:p>
      <w:pPr>
        <w:spacing w:after="80"/>
      </w:pPr>
    </w:p>
    <w:p>
      <w:pPr>
        <w:spacing w:before="120" w:after="120"/>
      </w:pPr>
      <w:r>
        <w:rPr>
          <w:color w:val="555555"/>
          <w:sz w:val="16"/>
        </w:rPr>
        <w:t>――――――――――――――――――――――――――――――――――――――――――――――――――――――――――――――――――――――――――――――</w:t>
      </w:r>
    </w:p>
    <w:p>
      <w:pPr>
        <w:keepNext/>
        <w:spacing w:before="280" w:after="80"/>
      </w:pPr>
      <w:r>
        <w:rPr>
          <w:b/>
          <w:color w:val="0F2347"/>
          <w:sz w:val="25"/>
        </w:rPr>
        <w:t>Session timeline</w:t>
      </w:r>
    </w:p>
    <w:tbl>
      <w:tblPr>
        <w:tblW w:type="auto" w:w="0"/>
        <w:tblLayout w:type="fixed"/>
        <w:tblLook w:firstColumn="1" w:firstRow="1" w:lastColumn="0" w:lastRow="0" w:noHBand="0" w:noVBand="1" w:val="04A0"/>
      </w:tblPr>
      <w:tblGrid>
        <w:gridCol w:w="5040"/>
        <w:gridCol w:w="5040"/>
      </w:tblGrid>
      <w:tr>
        <w:tc>
          <w:tcPr>
            <w:tcW w:type="dxa" w:w="2880"/>
            <w:shd w:val="clear" w:fill="0F2347"/>
          </w:tcPr>
          <w:p>
            <w:r/>
            <w:r>
              <w:rPr>
                <w:b/>
                <w:color w:val="FFFFFF"/>
                <w:sz w:val="19"/>
              </w:rPr>
              <w:t>Time</w:t>
            </w:r>
          </w:p>
        </w:tc>
        <w:tc>
          <w:tcPr>
            <w:tcW w:type="dxa" w:w="6480"/>
            <w:shd w:val="clear" w:fill="0F2347"/>
          </w:tcPr>
          <w:p>
            <w:r/>
            <w:r>
              <w:rPr>
                <w:b/>
                <w:color w:val="FFFFFF"/>
                <w:sz w:val="19"/>
              </w:rPr>
              <w:t>Segment</w:t>
            </w:r>
          </w:p>
        </w:tc>
      </w:tr>
      <w:tr>
        <w:tc>
          <w:tcPr>
            <w:tcW w:type="dxa" w:w="2880"/>
          </w:tcPr>
          <w:p>
            <w:r/>
            <w:r>
              <w:rPr>
                <w:b/>
                <w:sz w:val="19"/>
              </w:rPr>
              <w:t>0–5</w:t>
            </w:r>
          </w:p>
        </w:tc>
        <w:tc>
          <w:tcPr>
            <w:tcW w:type="dxa" w:w="6480"/>
          </w:tcPr>
          <w:p>
            <w:r/>
            <w:r>
              <w:rPr>
                <w:sz w:val="19"/>
              </w:rPr>
              <w:t>Welcome, privacy, purpose</w:t>
            </w:r>
          </w:p>
        </w:tc>
      </w:tr>
      <w:tr>
        <w:tc>
          <w:tcPr>
            <w:tcW w:type="dxa" w:w="2880"/>
          </w:tcPr>
          <w:p>
            <w:r/>
            <w:r>
              <w:rPr>
                <w:b/>
                <w:sz w:val="19"/>
              </w:rPr>
              <w:t>5–12</w:t>
            </w:r>
          </w:p>
        </w:tc>
        <w:tc>
          <w:tcPr>
            <w:tcW w:type="dxa" w:w="6480"/>
          </w:tcPr>
          <w:p>
            <w:r/>
            <w:r>
              <w:rPr>
                <w:sz w:val="19"/>
              </w:rPr>
              <w:t>Review what evidence participants were asked to collect</w:t>
            </w:r>
          </w:p>
        </w:tc>
      </w:tr>
      <w:tr>
        <w:tc>
          <w:tcPr>
            <w:tcW w:type="dxa" w:w="2880"/>
          </w:tcPr>
          <w:p>
            <w:r/>
            <w:r>
              <w:rPr>
                <w:b/>
                <w:sz w:val="19"/>
              </w:rPr>
              <w:t>12–22</w:t>
            </w:r>
          </w:p>
        </w:tc>
        <w:tc>
          <w:tcPr>
            <w:tcW w:type="dxa" w:w="6480"/>
          </w:tcPr>
          <w:p>
            <w:r/>
            <w:r>
              <w:rPr>
                <w:sz w:val="19"/>
              </w:rPr>
              <w:t>Private evidence review</w:t>
            </w:r>
          </w:p>
        </w:tc>
      </w:tr>
      <w:tr>
        <w:tc>
          <w:tcPr>
            <w:tcW w:type="dxa" w:w="2880"/>
          </w:tcPr>
          <w:p>
            <w:r/>
            <w:r>
              <w:rPr>
                <w:b/>
                <w:sz w:val="19"/>
              </w:rPr>
              <w:t>22–30</w:t>
            </w:r>
          </w:p>
        </w:tc>
        <w:tc>
          <w:tcPr>
            <w:tcW w:type="dxa" w:w="6480"/>
          </w:tcPr>
          <w:p>
            <w:r/>
            <w:r>
              <w:rPr>
                <w:sz w:val="19"/>
              </w:rPr>
              <w:t>Does the original move category still hold?</w:t>
            </w:r>
          </w:p>
        </w:tc>
      </w:tr>
      <w:tr>
        <w:tc>
          <w:tcPr>
            <w:tcW w:type="dxa" w:w="2880"/>
          </w:tcPr>
          <w:p>
            <w:r/>
            <w:r>
              <w:rPr>
                <w:b/>
                <w:sz w:val="19"/>
              </w:rPr>
              <w:t>30–38</w:t>
            </w:r>
          </w:p>
        </w:tc>
        <w:tc>
          <w:tcPr>
            <w:tcW w:type="dxa" w:w="6480"/>
          </w:tcPr>
          <w:p>
            <w:r/>
            <w:r>
              <w:rPr>
                <w:sz w:val="19"/>
              </w:rPr>
              <w:t>Revise next action, evidence condition, or conversation</w:t>
            </w:r>
          </w:p>
        </w:tc>
      </w:tr>
      <w:tr>
        <w:tc>
          <w:tcPr>
            <w:tcW w:type="dxa" w:w="2880"/>
          </w:tcPr>
          <w:p>
            <w:r/>
            <w:r>
              <w:rPr>
                <w:b/>
                <w:sz w:val="19"/>
              </w:rPr>
              <w:t>38–43</w:t>
            </w:r>
          </w:p>
        </w:tc>
        <w:tc>
          <w:tcPr>
            <w:tcW w:type="dxa" w:w="6480"/>
          </w:tcPr>
          <w:p>
            <w:r/>
            <w:r>
              <w:rPr>
                <w:sz w:val="19"/>
              </w:rPr>
              <w:t>Prepare for the 90-day rescore</w:t>
            </w:r>
          </w:p>
        </w:tc>
      </w:tr>
      <w:tr>
        <w:tc>
          <w:tcPr>
            <w:tcW w:type="dxa" w:w="2880"/>
          </w:tcPr>
          <w:p>
            <w:r/>
            <w:r>
              <w:rPr>
                <w:b/>
                <w:sz w:val="19"/>
              </w:rPr>
              <w:t>43–45</w:t>
            </w:r>
          </w:p>
        </w:tc>
        <w:tc>
          <w:tcPr>
            <w:tcW w:type="dxa" w:w="6480"/>
          </w:tcPr>
          <w:p>
            <w:r/>
            <w:r>
              <w:rPr>
                <w:sz w:val="19"/>
              </w:rPr>
              <w:t>Close</w:t>
            </w:r>
          </w:p>
        </w:tc>
      </w:tr>
    </w:tbl>
    <w:p>
      <w:pPr>
        <w:spacing w:after="80"/>
      </w:pPr>
    </w:p>
    <w:p>
      <w:pPr>
        <w:spacing w:before="120" w:after="120"/>
      </w:pPr>
      <w:r>
        <w:rPr>
          <w:color w:val="555555"/>
          <w:sz w:val="16"/>
        </w:rPr>
        <w:t>――――――――――――――――――――――――――――――――――――――――――――――――――――――――――――――――――――――――――――――</w:t>
      </w:r>
    </w:p>
    <w:p>
      <w:pPr>
        <w:keepNext/>
        <w:spacing w:before="280" w:after="80"/>
      </w:pPr>
      <w:r>
        <w:rPr>
          <w:b/>
          <w:color w:val="0F2347"/>
          <w:sz w:val="25"/>
        </w:rPr>
        <w:t>Segment-by-segment</w:t>
      </w:r>
    </w:p>
    <w:p>
      <w:pPr>
        <w:keepNext/>
        <w:spacing w:before="160" w:after="60"/>
      </w:pPr>
      <w:r>
        <w:rPr>
          <w:b/>
          <w:color w:val="996600"/>
          <w:sz w:val="23"/>
        </w:rPr>
        <w:t>0–5   ·   Welcome, privacy, purpose</w:t>
      </w:r>
    </w:p>
    <w:p>
      <w:pPr>
        <w:spacing w:after="120"/>
      </w:pPr>
      <w:r>
        <w:rPr>
          <w:b w:val="0"/>
          <w:i/>
          <w:color w:val="555555"/>
          <w:sz w:val="19"/>
        </w:rPr>
        <w:t>Re-establish the room's privacy terms and set expectations for what today is and is not.</w:t>
      </w:r>
    </w:p>
    <w:p>
      <w:pPr>
        <w:spacing w:after="160"/>
      </w:pPr>
      <w:r>
        <w:rPr>
          <w:b/>
          <w:color w:val="0F2347"/>
          <w:sz w:val="21"/>
        </w:rPr>
        <w:t xml:space="preserve">SAY:  </w:t>
      </w:r>
      <w:r>
        <w:rPr>
          <w:color w:val="000000"/>
          <w:sz w:val="21"/>
        </w:rPr>
        <w:t>Welcome back. Same privacy terms as September 10th: no scores, no employer names, nothing you say here is recorded. The purpose today is not to prove that your first reading was right or wrong. It is to see what the last 30 days added to the evidence.</w:t>
      </w:r>
    </w:p>
    <w:p>
      <w:pPr>
        <w:spacing w:after="160"/>
      </w:pPr>
      <w:r>
        <w:rPr>
          <w:b/>
          <w:color w:val="996600"/>
          <w:sz w:val="21"/>
        </w:rPr>
        <w:t xml:space="preserve">PARTICIPANT ACTION:  </w:t>
      </w:r>
      <w:r>
        <w:rPr>
          <w:color w:val="000000"/>
          <w:sz w:val="21"/>
        </w:rPr>
        <w:t>Listening. No scoring, no disclosure.</w:t>
      </w:r>
    </w:p>
    <w:p>
      <w:pPr>
        <w:spacing w:after="160"/>
      </w:pPr>
      <w:r>
        <w:rPr>
          <w:b/>
          <w:color w:val="B00000"/>
          <w:sz w:val="21"/>
        </w:rPr>
        <w:t xml:space="preserve">DO NOT SAY:  </w:t>
      </w:r>
      <w:r>
        <w:rPr>
          <w:color w:val="000000"/>
          <w:sz w:val="21"/>
        </w:rPr>
        <w:t>Do not say "let's see who was right." Do not ask anyone to report their original state or move category to the group.</w:t>
      </w:r>
    </w:p>
    <w:p>
      <w:pPr>
        <w:spacing w:after="160"/>
      </w:pPr>
      <w:r>
        <w:rPr>
          <w:b/>
          <w:color w:val="1A7A1A"/>
          <w:sz w:val="21"/>
        </w:rPr>
        <w:t xml:space="preserve">PRIVACY:  </w:t>
      </w:r>
      <w:r>
        <w:rPr>
          <w:color w:val="000000"/>
          <w:sz w:val="21"/>
        </w:rPr>
        <w:t>No recording. No score, state, or employer disclosure requested at any point today.</w:t>
      </w:r>
    </w:p>
    <w:p>
      <w:pPr>
        <w:spacing w:after="240"/>
      </w:pPr>
      <w:r>
        <w:rPr>
          <w:b w:val="0"/>
          <w:i w:val="0"/>
          <w:color w:val="555555"/>
          <w:sz w:val="19"/>
        </w:rPr>
        <w:t>Transition: Move into reviewing what evidence participants were asked to collect.</w:t>
      </w:r>
    </w:p>
    <w:p>
      <w:pPr>
        <w:keepNext/>
        <w:spacing w:before="160" w:after="60"/>
      </w:pPr>
      <w:r>
        <w:rPr>
          <w:b/>
          <w:color w:val="996600"/>
          <w:sz w:val="23"/>
        </w:rPr>
        <w:t>5–12   ·   Review what evidence participants were asked to collect</w:t>
      </w:r>
    </w:p>
    <w:p>
      <w:pPr>
        <w:spacing w:after="120"/>
      </w:pPr>
      <w:r>
        <w:rPr>
          <w:b w:val="0"/>
          <w:i/>
          <w:color w:val="555555"/>
          <w:sz w:val="19"/>
        </w:rPr>
        <w:t>Refresh the room on the collection task from the post-session email — one evidence line a week, noticing what changes — before asking anyone to look at their own notes.</w:t>
      </w:r>
    </w:p>
    <w:p>
      <w:pPr>
        <w:spacing w:after="160"/>
      </w:pPr>
      <w:r>
        <w:rPr>
          <w:b/>
          <w:color w:val="0F2347"/>
          <w:sz w:val="21"/>
        </w:rPr>
        <w:t xml:space="preserve">SAY:  </w:t>
      </w:r>
      <w:r>
        <w:rPr>
          <w:color w:val="000000"/>
          <w:sz w:val="21"/>
        </w:rPr>
        <w:t>At the close of the workshop, you were asked to collect one evidence line a week and notice what changed — in the work, in the conversations, in how the position reads. That's what we're working with today, not a new instrument.</w:t>
      </w:r>
    </w:p>
    <w:p>
      <w:pPr>
        <w:spacing w:after="160"/>
      </w:pPr>
      <w:r>
        <w:rPr>
          <w:b/>
          <w:color w:val="996600"/>
          <w:sz w:val="21"/>
        </w:rPr>
        <w:t xml:space="preserve">PARTICIPANT ACTION:  </w:t>
      </w:r>
      <w:r>
        <w:rPr>
          <w:color w:val="000000"/>
          <w:sz w:val="21"/>
        </w:rPr>
        <w:t>Locate their completed Part A and Part B files, their Next-Move Decision, and the evidence notes they collected during the last 30 days.</w:t>
      </w:r>
    </w:p>
    <w:p>
      <w:pPr>
        <w:spacing w:after="160"/>
      </w:pPr>
      <w:r>
        <w:rPr>
          <w:b/>
          <w:color w:val="B00000"/>
          <w:sz w:val="21"/>
        </w:rPr>
        <w:t xml:space="preserve">DO NOT SAY:  </w:t>
      </w:r>
      <w:r>
        <w:rPr>
          <w:color w:val="000000"/>
          <w:sz w:val="21"/>
        </w:rPr>
        <w:t>Do not imply that participants who collected less evidence than intended have failed the process — some evidence, or even a clear absence of change, is still usable material.</w:t>
      </w:r>
    </w:p>
    <w:p>
      <w:pPr>
        <w:spacing w:after="160"/>
      </w:pPr>
      <w:r>
        <w:rPr>
          <w:b/>
          <w:color w:val="1A7A1A"/>
          <w:sz w:val="21"/>
        </w:rPr>
        <w:t xml:space="preserve">PRIVACY:  </w:t>
      </w:r>
      <w:r>
        <w:rPr>
          <w:color w:val="000000"/>
          <w:sz w:val="21"/>
        </w:rPr>
        <w:t>No one is asked to share what they collected with the group at this stage.</w:t>
      </w:r>
    </w:p>
    <w:p>
      <w:pPr>
        <w:spacing w:after="240"/>
      </w:pPr>
      <w:r>
        <w:rPr>
          <w:b w:val="0"/>
          <w:i w:val="0"/>
          <w:color w:val="555555"/>
          <w:sz w:val="19"/>
        </w:rPr>
        <w:t>Transition: Move into the private evidence review.</w:t>
      </w:r>
    </w:p>
    <w:p>
      <w:pPr>
        <w:keepNext/>
        <w:spacing w:before="160" w:after="60"/>
      </w:pPr>
      <w:r>
        <w:rPr>
          <w:b/>
          <w:color w:val="996600"/>
          <w:sz w:val="23"/>
        </w:rPr>
        <w:t>12–22   ·   Private evidence review</w:t>
      </w:r>
    </w:p>
    <w:p>
      <w:pPr>
        <w:spacing w:after="120"/>
      </w:pPr>
      <w:r>
        <w:rPr>
          <w:b w:val="0"/>
          <w:i/>
          <w:color w:val="555555"/>
          <w:sz w:val="19"/>
        </w:rPr>
        <w:t>Give participants uninterrupted time to read their own 30 days of evidence against their original placement and write short private responses to prompts 1–6, before any group discussion.</w:t>
      </w:r>
    </w:p>
    <w:p>
      <w:pPr>
        <w:spacing w:after="160"/>
      </w:pPr>
      <w:r>
        <w:rPr>
          <w:b/>
          <w:color w:val="0F2347"/>
          <w:sz w:val="21"/>
        </w:rPr>
        <w:t xml:space="preserve">SAY:  </w:t>
      </w:r>
      <w:r>
        <w:rPr>
          <w:color w:val="000000"/>
          <w:sz w:val="21"/>
        </w:rPr>
        <w:t>Take the next ten minutes with your participant sheet. Read through the evidence you collected and complete short responses to prompts 1 through 6. Do not make the writing polished. Capture what the last 30 days actually showed.</w:t>
      </w:r>
    </w:p>
    <w:p>
      <w:pPr>
        <w:spacing w:after="160"/>
      </w:pPr>
      <w:r>
        <w:rPr>
          <w:b/>
          <w:color w:val="996600"/>
          <w:sz w:val="21"/>
        </w:rPr>
        <w:t xml:space="preserve">PARTICIPANT ACTION:  </w:t>
      </w:r>
      <w:r>
        <w:rPr>
          <w:color w:val="000000"/>
          <w:sz w:val="21"/>
        </w:rPr>
        <w:t>Review 30-day evidence and complete prompts 1–6 privately (intended evidence, what happened, support / complicate, what changed).</w:t>
      </w:r>
    </w:p>
    <w:p>
      <w:pPr>
        <w:spacing w:after="160"/>
      </w:pPr>
      <w:r>
        <w:rPr>
          <w:b/>
          <w:color w:val="B00000"/>
          <w:sz w:val="21"/>
        </w:rPr>
        <w:t xml:space="preserve">DO NOT SAY:  </w:t>
      </w:r>
      <w:r>
        <w:rPr>
          <w:color w:val="000000"/>
          <w:sz w:val="21"/>
        </w:rPr>
        <w:t>Do not fill this silence with commentary or worked examples — this block is deliberately quiet, the same discipline as the protected writing block on September 10th.</w:t>
      </w:r>
    </w:p>
    <w:p>
      <w:pPr>
        <w:spacing w:after="160"/>
      </w:pPr>
      <w:r>
        <w:rPr>
          <w:b/>
          <w:color w:val="1A7A1A"/>
          <w:sz w:val="21"/>
        </w:rPr>
        <w:t xml:space="preserve">PRIVACY:  </w:t>
      </w:r>
      <w:r>
        <w:rPr>
          <w:color w:val="000000"/>
          <w:sz w:val="21"/>
        </w:rPr>
        <w:t>Nothing is written on a shared surface. Sheets are never collected.</w:t>
      </w:r>
    </w:p>
    <w:p>
      <w:pPr>
        <w:spacing w:after="240"/>
      </w:pPr>
      <w:r>
        <w:rPr>
          <w:b w:val="0"/>
          <w:i w:val="0"/>
          <w:color w:val="555555"/>
          <w:sz w:val="19"/>
        </w:rPr>
        <w:t>Transition: Move into the move-category check.</w:t>
      </w:r>
    </w:p>
    <w:p>
      <w:pPr>
        <w:keepNext/>
        <w:spacing w:before="160" w:after="60"/>
      </w:pPr>
      <w:r>
        <w:rPr>
          <w:b/>
          <w:color w:val="996600"/>
          <w:sz w:val="23"/>
        </w:rPr>
        <w:t>22–30   ·   Does the original move category still hold?</w:t>
      </w:r>
    </w:p>
    <w:p>
      <w:pPr>
        <w:spacing w:after="120"/>
      </w:pPr>
      <w:r>
        <w:rPr>
          <w:b w:val="0"/>
          <w:i/>
          <w:color w:val="555555"/>
          <w:sz w:val="19"/>
        </w:rPr>
        <w:t>Walk participants through evaluating their own original move category against the fresh evidence, without the facilitator prescribing an answer.</w:t>
      </w:r>
    </w:p>
    <w:p>
      <w:pPr>
        <w:spacing w:after="160"/>
      </w:pPr>
      <w:r>
        <w:rPr>
          <w:b/>
          <w:color w:val="0F2347"/>
          <w:sz w:val="21"/>
        </w:rPr>
        <w:t xml:space="preserve">SAY:  </w:t>
      </w:r>
      <w:r>
        <w:rPr>
          <w:color w:val="000000"/>
          <w:sz w:val="21"/>
        </w:rPr>
        <w:t>Now look at prompt 7 on your sheet. Given what you just read, does your original move category still hold — yes, no, or still open? There's no wrong answer here, including "still open." A boundary or provisional reading from September may simply still be a boundary or provisional reading now — that's a legitimate outcome, not a stalled one.</w:t>
      </w:r>
    </w:p>
    <w:p>
      <w:pPr>
        <w:spacing w:after="160"/>
      </w:pPr>
      <w:r>
        <w:rPr>
          <w:b/>
          <w:color w:val="996600"/>
          <w:sz w:val="21"/>
        </w:rPr>
        <w:t xml:space="preserve">PARTICIPANT ACTION:  </w:t>
      </w:r>
      <w:r>
        <w:rPr>
          <w:color w:val="000000"/>
          <w:sz w:val="21"/>
        </w:rPr>
        <w:t>Mark Yes / No / Still open on the participant sheet, privately.</w:t>
      </w:r>
    </w:p>
    <w:p>
      <w:pPr>
        <w:spacing w:after="160"/>
      </w:pPr>
      <w:r>
        <w:rPr>
          <w:b/>
          <w:color w:val="B00000"/>
          <w:sz w:val="21"/>
        </w:rPr>
        <w:t xml:space="preserve">DO NOT SAY:  </w:t>
      </w:r>
      <w:r>
        <w:rPr>
          <w:color w:val="000000"/>
          <w:sz w:val="21"/>
        </w:rPr>
        <w:t>Do not tell any participant what their answer should be. Do not treat "No" as a failure of the original read, and do not treat "Yes" as proof the workshop "worked."</w:t>
      </w:r>
    </w:p>
    <w:p>
      <w:pPr>
        <w:spacing w:after="160"/>
      </w:pPr>
      <w:r>
        <w:rPr>
          <w:b/>
          <w:color w:val="1A7A1A"/>
          <w:sz w:val="21"/>
        </w:rPr>
        <w:t xml:space="preserve">PRIVACY:  </w:t>
      </w:r>
      <w:r>
        <w:rPr>
          <w:color w:val="000000"/>
          <w:sz w:val="21"/>
        </w:rPr>
        <w:t>Answers are not polled, collected, or shared aloud.</w:t>
      </w:r>
    </w:p>
    <w:p>
      <w:pPr>
        <w:spacing w:after="240"/>
      </w:pPr>
      <w:r>
        <w:rPr>
          <w:b w:val="0"/>
          <w:i w:val="0"/>
          <w:color w:val="555555"/>
          <w:sz w:val="19"/>
        </w:rPr>
        <w:t>Transition: Move into revising the next action.</w:t>
      </w:r>
    </w:p>
    <w:p>
      <w:pPr>
        <w:keepNext/>
        <w:spacing w:before="160" w:after="60"/>
      </w:pPr>
      <w:r>
        <w:rPr>
          <w:b/>
          <w:color w:val="996600"/>
          <w:sz w:val="23"/>
        </w:rPr>
        <w:t>30–38   ·   Revise next action, evidence condition, or conversation</w:t>
      </w:r>
    </w:p>
    <w:p>
      <w:pPr>
        <w:spacing w:after="120"/>
      </w:pPr>
      <w:r>
        <w:rPr>
          <w:b w:val="0"/>
          <w:i/>
          <w:color w:val="555555"/>
          <w:sz w:val="19"/>
        </w:rPr>
        <w:t>Help participants update the concrete next step from their original workbook based on what the 30 days actually showed, using the same evidence-condition language taught on September 10th.</w:t>
      </w:r>
    </w:p>
    <w:p>
      <w:pPr>
        <w:spacing w:after="160"/>
      </w:pPr>
      <w:r>
        <w:rPr>
          <w:b/>
          <w:color w:val="0F2347"/>
          <w:sz w:val="21"/>
        </w:rPr>
        <w:t xml:space="preserve">SAY:  </w:t>
      </w:r>
      <w:r>
        <w:rPr>
          <w:color w:val="000000"/>
          <w:sz w:val="21"/>
        </w:rPr>
        <w:t>Look at what you originally wrote as your next action or evidence condition. Given the last 30 days, does it still hold, or does it need to change? Write the updated version in prompts 8 through 10 — the next action, the evidence condition you're watching, and the conversation, if any, that still needs to happen.</w:t>
      </w:r>
    </w:p>
    <w:p>
      <w:pPr>
        <w:spacing w:after="160"/>
      </w:pPr>
      <w:r>
        <w:rPr>
          <w:b/>
          <w:color w:val="996600"/>
          <w:sz w:val="21"/>
        </w:rPr>
        <w:t xml:space="preserve">PARTICIPANT ACTION:  </w:t>
      </w:r>
      <w:r>
        <w:rPr>
          <w:color w:val="000000"/>
          <w:sz w:val="21"/>
        </w:rPr>
        <w:t>Revise or reconfirm their next action, evidence condition, and the conversation — if any — on the participant sheet.</w:t>
      </w:r>
    </w:p>
    <w:p>
      <w:pPr>
        <w:spacing w:after="160"/>
      </w:pPr>
      <w:r>
        <w:rPr>
          <w:b/>
          <w:color w:val="B00000"/>
          <w:sz w:val="21"/>
        </w:rPr>
        <w:t xml:space="preserve">DO NOT SAY:  </w:t>
      </w:r>
      <w:r>
        <w:rPr>
          <w:color w:val="000000"/>
          <w:sz w:val="21"/>
        </w:rPr>
        <w:t>Do not suggest specific actions for a participant's situation — the role here is the same as September 10th: sharpen the evidence condition, not supply the decision.</w:t>
      </w:r>
    </w:p>
    <w:p>
      <w:pPr>
        <w:spacing w:after="160"/>
      </w:pPr>
      <w:r>
        <w:rPr>
          <w:b/>
          <w:color w:val="1A7A1A"/>
          <w:sz w:val="21"/>
        </w:rPr>
        <w:t xml:space="preserve">PRIVACY:  </w:t>
      </w:r>
      <w:r>
        <w:rPr>
          <w:color w:val="000000"/>
          <w:sz w:val="21"/>
        </w:rPr>
        <w:t>Revisions stay on the participant's own sheet.</w:t>
      </w:r>
    </w:p>
    <w:p>
      <w:pPr>
        <w:spacing w:after="240"/>
      </w:pPr>
      <w:r>
        <w:rPr>
          <w:b w:val="0"/>
          <w:i w:val="0"/>
          <w:color w:val="555555"/>
          <w:sz w:val="19"/>
        </w:rPr>
        <w:t>Transition: Move into preparing for the 90-day rescore.</w:t>
      </w:r>
    </w:p>
    <w:p>
      <w:pPr>
        <w:keepNext/>
        <w:spacing w:before="160" w:after="60"/>
      </w:pPr>
      <w:r>
        <w:rPr>
          <w:b/>
          <w:color w:val="996600"/>
          <w:sz w:val="23"/>
        </w:rPr>
        <w:t>38–43   ·   Prepare for the 90-day rescore</w:t>
      </w:r>
    </w:p>
    <w:p>
      <w:pPr>
        <w:spacing w:after="120"/>
      </w:pPr>
      <w:r>
        <w:rPr>
          <w:b w:val="0"/>
          <w:i/>
          <w:color w:val="555555"/>
          <w:sz w:val="19"/>
        </w:rPr>
        <w:t>Set expectations for the full rescore at day 90 and make clear today's review is not a substitute for it.</w:t>
      </w:r>
    </w:p>
    <w:p>
      <w:pPr>
        <w:spacing w:after="160"/>
      </w:pPr>
      <w:r>
        <w:rPr>
          <w:b/>
          <w:color w:val="0F2347"/>
          <w:sz w:val="21"/>
        </w:rPr>
        <w:t xml:space="preserve">SAY:  </w:t>
      </w:r>
      <w:r>
        <w:rPr>
          <w:color w:val="000000"/>
          <w:sz w:val="21"/>
        </w:rPr>
        <w:t>This is not a new Career State assessment — that happens at day 90, when you'll repeat the full evidence-backed read using your Field Kit. What you're doing today is making sure the next 60 days are pointed at the right evidence, not guessing.</w:t>
      </w:r>
    </w:p>
    <w:p>
      <w:pPr>
        <w:spacing w:after="160"/>
      </w:pPr>
      <w:r>
        <w:rPr>
          <w:b/>
          <w:color w:val="996600"/>
          <w:sz w:val="21"/>
        </w:rPr>
        <w:t xml:space="preserve">PARTICIPANT ACTION:  </w:t>
      </w:r>
      <w:r>
        <w:rPr>
          <w:color w:val="000000"/>
          <w:sz w:val="21"/>
        </w:rPr>
        <w:t>Note prompt 11 (what could change their interpretation before day 90) and confirm the rescore date already printed on the sheet.</w:t>
      </w:r>
    </w:p>
    <w:p>
      <w:pPr>
        <w:spacing w:after="160"/>
      </w:pPr>
      <w:r>
        <w:rPr>
          <w:b/>
          <w:color w:val="B00000"/>
          <w:sz w:val="21"/>
        </w:rPr>
        <w:t xml:space="preserve">DO NOT SAY:  </w:t>
      </w:r>
      <w:r>
        <w:rPr>
          <w:color w:val="000000"/>
          <w:sz w:val="21"/>
        </w:rPr>
        <w:t>Do not describe today's review as "half a rescore" or imply the totals from today carry forward into the 90-day instrument.</w:t>
      </w:r>
    </w:p>
    <w:p>
      <w:pPr>
        <w:spacing w:after="160"/>
      </w:pPr>
      <w:r>
        <w:rPr>
          <w:b/>
          <w:color w:val="1A7A1A"/>
          <w:sz w:val="21"/>
        </w:rPr>
        <w:t xml:space="preserve">PRIVACY:  </w:t>
      </w:r>
      <w:r>
        <w:rPr>
          <w:color w:val="000000"/>
          <w:sz w:val="21"/>
        </w:rPr>
        <w:t>No forward commitment to attend a specific rescore session is requested — the 90-day reminder handles scheduling separately.</w:t>
      </w:r>
    </w:p>
    <w:p>
      <w:pPr>
        <w:spacing w:after="240"/>
      </w:pPr>
      <w:r>
        <w:rPr>
          <w:b w:val="0"/>
          <w:i w:val="0"/>
          <w:color w:val="555555"/>
          <w:sz w:val="19"/>
        </w:rPr>
        <w:t>Transition: Move into the close.</w:t>
      </w:r>
    </w:p>
    <w:p>
      <w:pPr>
        <w:keepNext/>
        <w:spacing w:before="160" w:after="60"/>
      </w:pPr>
      <w:r>
        <w:rPr>
          <w:b/>
          <w:color w:val="996600"/>
          <w:sz w:val="23"/>
        </w:rPr>
        <w:t>43–45   ·   Close</w:t>
      </w:r>
    </w:p>
    <w:p>
      <w:pPr>
        <w:spacing w:after="120"/>
      </w:pPr>
      <w:r>
        <w:rPr>
          <w:b w:val="0"/>
          <w:i/>
          <w:color w:val="555555"/>
          <w:sz w:val="19"/>
        </w:rPr>
        <w:t>End on the same dated-commitment mechanism used in the main workshop, without introducing a new live meeting or making a decision on the participant's behalf.</w:t>
      </w:r>
    </w:p>
    <w:p>
      <w:pPr>
        <w:spacing w:after="160"/>
      </w:pPr>
      <w:r>
        <w:rPr>
          <w:b/>
          <w:color w:val="0F2347"/>
          <w:sz w:val="21"/>
        </w:rPr>
        <w:t xml:space="preserve">SAY:  </w:t>
      </w:r>
      <w:r>
        <w:rPr>
          <w:color w:val="000000"/>
          <w:sz w:val="21"/>
        </w:rPr>
        <w:t>Your 90-day rescore date is already on your sheet. Keep collecting what you notice between now and then. Thank you for bringing today's evidence back into the room.</w:t>
      </w:r>
    </w:p>
    <w:p>
      <w:pPr>
        <w:spacing w:after="160"/>
      </w:pPr>
      <w:r>
        <w:rPr>
          <w:b/>
          <w:color w:val="996600"/>
          <w:sz w:val="21"/>
        </w:rPr>
        <w:t xml:space="preserve">PARTICIPANT ACTION:  </w:t>
      </w:r>
      <w:r>
        <w:rPr>
          <w:color w:val="000000"/>
          <w:sz w:val="21"/>
        </w:rPr>
        <w:t>None. Listening.</w:t>
      </w:r>
    </w:p>
    <w:p>
      <w:pPr>
        <w:spacing w:after="160"/>
      </w:pPr>
      <w:r>
        <w:rPr>
          <w:b/>
          <w:color w:val="B00000"/>
          <w:sz w:val="21"/>
        </w:rPr>
        <w:t xml:space="preserve">DO NOT SAY:  </w:t>
      </w:r>
      <w:r>
        <w:rPr>
          <w:color w:val="000000"/>
          <w:sz w:val="21"/>
        </w:rPr>
        <w:t>Do not say or imply "I'll see you there" or any phrase suggesting the 90-day rescore is a live meeting with the facilitator.</w:t>
      </w:r>
    </w:p>
    <w:p>
      <w:pPr>
        <w:spacing w:after="160"/>
      </w:pPr>
      <w:r>
        <w:rPr>
          <w:b/>
          <w:color w:val="1A7A1A"/>
          <w:sz w:val="21"/>
        </w:rPr>
        <w:t xml:space="preserve">PRIVACY:  </w:t>
      </w:r>
      <w:r>
        <w:rPr>
          <w:color w:val="000000"/>
          <w:sz w:val="21"/>
        </w:rPr>
        <w:t>No recording existed for this session; there is no replay to send.</w:t>
      </w:r>
    </w:p>
    <w:p>
      <w:pPr>
        <w:spacing w:after="240"/>
      </w:pPr>
      <w:r>
        <w:rPr>
          <w:b w:val="0"/>
          <w:i w:val="0"/>
          <w:color w:val="555555"/>
          <w:sz w:val="19"/>
        </w:rPr>
        <w:t>Transition: Session ends.</w:t>
      </w:r>
    </w:p>
    <w:p>
      <w:pPr>
        <w:spacing w:before="120" w:after="120"/>
      </w:pPr>
      <w:r>
        <w:rPr>
          <w:color w:val="555555"/>
          <w:sz w:val="16"/>
        </w:rPr>
        <w:t>――――――――――――――――――――――――――――――――――――――――――――――――――――――――――――――――――――――――――――――</w:t>
      </w:r>
    </w:p>
    <w:p>
      <w:pPr>
        <w:spacing w:after="0"/>
      </w:pPr>
      <w:r>
        <w:rPr>
          <w:b w:val="0"/>
          <w:i/>
          <w:color w:val="555555"/>
          <w:sz w:val="16"/>
        </w:rPr>
        <w:t>PAID WORKSHOP — 30-DAY EVIDENCE REVIEW FACILITATOR GUIDE v1.1</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