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555555"/>
          <w:sz w:val="19"/>
        </w:rPr>
        <w:t>SUBJECT: 90 Days Later: Read the Position Again</w:t>
      </w:r>
    </w:p>
    <w:p>
      <w:pPr>
        <w:spacing w:after="200"/>
      </w:pPr>
      <w:r>
        <w:rPr>
          <w:b w:val="0"/>
          <w:i/>
          <w:color w:val="555555"/>
          <w:sz w:val="18"/>
        </w:rPr>
        <w:t>SEND DATE: Wednesday, December 9, 2026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120"/>
            </w:pPr>
            <w:r>
              <w:rPr>
                <w:b/>
                <w:color w:val="FFFFFF"/>
                <w:sz w:val="38"/>
              </w:rPr>
              <w:t>90 Days Later: Read the Position Again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b w:val="0"/>
          <w:i w:val="0"/>
          <w:color w:val="000000"/>
          <w:sz w:val="21"/>
        </w:rPr>
        <w:t>It's been 90 days since your Capability Position Read. This is your cue to return to the Field Kit and read the position again — not from memory, from evidence.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The evidence window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Use the full new 90-day window leading up to today. Your 30-Day Evidence Review notes are part of that window, so include them where they document relevant events. Do not reach back to evidence that predates your September 10 read.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How to run the rescore</w:t>
      </w:r>
    </w:p>
    <w:p>
      <w:pPr>
        <w:pStyle w:val="ListBullet"/>
        <w:spacing w:after="60"/>
      </w:pPr>
      <w:r>
        <w:rPr>
          <w:color w:val="000000"/>
          <w:sz w:val="21"/>
        </w:rPr>
        <w:t>Complete all 12 statements using the Field Kit's self-guided evidence protocol. Write an evidence line for every score.</w:t>
      </w:r>
    </w:p>
    <w:p>
      <w:pPr>
        <w:pStyle w:val="ListBullet"/>
        <w:spacing w:after="60"/>
      </w:pPr>
      <w:r>
        <w:rPr>
          <w:color w:val="000000"/>
          <w:sz w:val="21"/>
        </w:rPr>
        <w:t>Use the current Field Kit's boundary and uncertainty rules — the question-mark convention and the incomplete-axis check still apply.</w:t>
      </w:r>
    </w:p>
    <w:p>
      <w:pPr>
        <w:pStyle w:val="ListBullet"/>
        <w:spacing w:after="60"/>
      </w:pPr>
      <w:r>
        <w:rPr>
          <w:color w:val="000000"/>
          <w:sz w:val="21"/>
        </w:rPr>
        <w:t>Compare statement by statement, not only totals — a stable total can still hide real movement underneath it.</w:t>
      </w:r>
    </w:p>
    <w:p>
      <w:pPr>
        <w:pStyle w:val="ListBullet"/>
        <w:spacing w:after="60"/>
      </w:pPr>
      <w:r>
        <w:rPr>
          <w:color w:val="000000"/>
          <w:sz w:val="21"/>
        </w:rPr>
        <w:t>Notice what moved.</w:t>
      </w:r>
    </w:p>
    <w:p>
      <w:pPr>
        <w:pStyle w:val="ListBullet"/>
        <w:spacing w:after="60"/>
      </w:pPr>
      <w:r>
        <w:rPr>
          <w:color w:val="000000"/>
          <w:sz w:val="21"/>
        </w:rPr>
        <w:t>Do not force a career decision simply because the score changed.</w:t>
      </w:r>
    </w:p>
    <w:p>
      <w:pPr>
        <w:spacing w:after="80"/>
      </w:pPr>
    </w:p>
    <w:p>
      <w:pPr>
        <w:spacing w:after="160"/>
      </w:pPr>
      <w:r>
        <w:rPr>
          <w:b/>
          <w:color w:val="996600"/>
          <w:sz w:val="21"/>
        </w:rPr>
        <w:t xml:space="preserve">Remember:  </w:t>
      </w:r>
      <w:r>
        <w:rPr>
          <w:color w:val="000000"/>
          <w:sz w:val="21"/>
        </w:rPr>
        <w:t>Compounding is not a permanent address. Neither is any other state.</w:t>
      </w:r>
    </w:p>
    <w:p>
      <w:pPr>
        <w:spacing w:after="200"/>
      </w:pPr>
      <w:r>
        <w:rPr>
          <w:b w:val="0"/>
          <w:i/>
          <w:color w:val="555555"/>
          <w:sz w:val="21"/>
        </w:rPr>
        <w:t>Your position is a moving fact. The point of the rescore is to see what the new 90 days support.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Accessing your Field Kit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Open the Field Kit from your Gumroad library. If you cannot find your included copy, contact [SUPPORT EMAIL].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 w:val="0"/>
          <w:i w:val="0"/>
          <w:color w:val="000000"/>
          <w:sz w:val="20"/>
        </w:rPr>
        <w:t>Questions about the process: [SUPPORT EMAIL].</w:t>
      </w:r>
    </w:p>
    <w:p>
      <w:pPr>
        <w:spacing w:after="0"/>
      </w:pPr>
      <w:r>
        <w:rPr>
          <w:b w:val="0"/>
          <w:i/>
          <w:color w:val="000000"/>
          <w:sz w:val="20"/>
        </w:rPr>
        <w:t>— Temidayo Afonja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90-DAY RESCORE REMINDER v1.1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