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Participant FAQ</w:t>
            </w:r>
          </w:p>
          <w:p>
            <w:pPr>
              <w:spacing w:after="120"/>
            </w:pPr>
            <w:r>
              <w:rPr>
                <w:i/>
                <w:color w:val="E3D9C4"/>
                <w:sz w:val="22"/>
              </w:rPr>
              <w:t>Decide Whether to Stay or Leave Your Job</w:t>
            </w:r>
          </w:p>
        </w:tc>
      </w:tr>
    </w:tbl>
    <w:p>
      <w:pPr>
        <w:spacing w:after="80"/>
      </w:pPr>
    </w:p>
    <w:p>
      <w:pPr>
        <w:spacing w:after="200"/>
      </w:pPr>
      <w:r>
        <w:rPr>
          <w:b w:val="0"/>
          <w:i/>
          <w:color w:val="555555"/>
          <w:sz w:val="20"/>
        </w:rPr>
        <w:t>Answers to the questions we hear most before and after the live session.</w:t>
      </w:r>
    </w:p>
    <w:p>
      <w:pPr>
        <w:keepNext/>
        <w:spacing w:before="160" w:after="60"/>
      </w:pPr>
      <w:r>
        <w:rPr>
          <w:b/>
          <w:color w:val="996600"/>
          <w:sz w:val="22"/>
        </w:rPr>
        <w:t>1.  Is this only for people who are ready to leave?</w:t>
      </w:r>
    </w:p>
    <w:p>
      <w:pPr>
        <w:spacing w:after="160"/>
      </w:pPr>
      <w:r>
        <w:rPr>
          <w:b w:val="0"/>
          <w:i w:val="0"/>
          <w:color w:val="000000"/>
          <w:sz w:val="21"/>
        </w:rPr>
        <w:t>No. Your evidence may support remaining and deepening, repairing formation conditions, translating what you have built, widening exposure, testing portability, preparing for exit, or seeking an external perspective.</w:t>
      </w:r>
    </w:p>
    <w:p>
      <w:pPr>
        <w:keepNext/>
        <w:spacing w:before="160" w:after="60"/>
      </w:pPr>
      <w:r>
        <w:rPr>
          <w:b/>
          <w:color w:val="996600"/>
          <w:sz w:val="22"/>
        </w:rPr>
        <w:t>2.  Will Temidayo tell me whether to leave?</w:t>
      </w:r>
    </w:p>
    <w:p>
      <w:pPr>
        <w:spacing w:after="160"/>
      </w:pPr>
      <w:r>
        <w:rPr>
          <w:b w:val="0"/>
          <w:i w:val="0"/>
          <w:color w:val="000000"/>
          <w:sz w:val="21"/>
        </w:rPr>
        <w:t>No. The workshop improves the evidence beneath your judgment. It does not replace that judgment.</w:t>
      </w:r>
    </w:p>
    <w:p>
      <w:pPr>
        <w:keepNext/>
        <w:spacing w:before="160" w:after="60"/>
      </w:pPr>
      <w:r>
        <w:rPr>
          <w:b/>
          <w:color w:val="996600"/>
          <w:sz w:val="22"/>
        </w:rPr>
        <w:t>3.  What if my evidence does not point clearly to one state?</w:t>
      </w:r>
    </w:p>
    <w:p>
      <w:pPr>
        <w:spacing w:after="160"/>
      </w:pPr>
      <w:r>
        <w:rPr>
          <w:b w:val="0"/>
          <w:i w:val="0"/>
          <w:color w:val="000000"/>
          <w:sz w:val="21"/>
        </w:rPr>
        <w:t>A boundary, provisional, or incomplete reading may be the responsible result. The method does not manufacture certainty.</w:t>
      </w:r>
    </w:p>
    <w:p>
      <w:pPr>
        <w:keepNext/>
        <w:spacing w:before="160" w:after="60"/>
      </w:pPr>
      <w:r>
        <w:rPr>
          <w:b/>
          <w:color w:val="996600"/>
          <w:sz w:val="22"/>
        </w:rPr>
        <w:t>4.  What if I cannot attend the 30-Day Evidence Review?</w:t>
      </w:r>
    </w:p>
    <w:p>
      <w:pPr>
        <w:spacing w:after="160"/>
      </w:pPr>
      <w:r>
        <w:rPr>
          <w:b w:val="0"/>
          <w:i w:val="0"/>
          <w:color w:val="000000"/>
          <w:sz w:val="21"/>
        </w:rPr>
        <w:t>The Evidence Review is designed as a live application session and is not recorded. If you cannot attend, you will still receive the participant sheet and can continue the 30-day evidence process and 90-day rescore independently. A private make-up session is not included.</w:t>
      </w:r>
    </w:p>
    <w:p>
      <w:pPr>
        <w:keepNext/>
        <w:spacing w:before="160" w:after="60"/>
      </w:pPr>
      <w:r>
        <w:rPr>
          <w:b/>
          <w:color w:val="996600"/>
          <w:sz w:val="22"/>
        </w:rPr>
        <w:t>5.  Should I complete Part A before the session?</w:t>
      </w:r>
    </w:p>
    <w:p>
      <w:pPr>
        <w:spacing w:after="160"/>
      </w:pPr>
      <w:r>
        <w:rPr>
          <w:b w:val="0"/>
          <w:i w:val="0"/>
          <w:color w:val="000000"/>
          <w:sz w:val="21"/>
        </w:rPr>
        <w:t>No.</w:t>
      </w:r>
    </w:p>
    <w:p>
      <w:pPr>
        <w:spacing w:after="160"/>
      </w:pPr>
      <w:r>
        <w:rPr>
          <w:b w:val="0"/>
          <w:i w:val="0"/>
          <w:color w:val="000000"/>
          <w:sz w:val="21"/>
        </w:rPr>
        <w:t>The first reading needs to capture how you understand your position before the live evidence protocol is introduced. Scoring it in advance would change what the reading actually measures, so please open it to confirm it loads, and leave the scoring itself for the live session.</w:t>
      </w:r>
    </w:p>
    <w:p>
      <w:pPr>
        <w:keepNext/>
        <w:spacing w:before="160" w:after="60"/>
      </w:pPr>
      <w:r>
        <w:rPr>
          <w:b/>
          <w:color w:val="996600"/>
          <w:sz w:val="22"/>
        </w:rPr>
        <w:t>6.  Will the workshop be recorded?</w:t>
      </w:r>
    </w:p>
    <w:p>
      <w:pPr>
        <w:spacing w:after="160"/>
      </w:pPr>
      <w:r>
        <w:rPr>
          <w:b w:val="0"/>
          <w:i w:val="0"/>
          <w:color w:val="000000"/>
          <w:sz w:val="21"/>
        </w:rPr>
        <w:t>No. The Thursday, September 10, 2026 session is not recorded, and no replay is provided.</w:t>
      </w:r>
    </w:p>
    <w:p>
      <w:pPr>
        <w:keepNext/>
        <w:spacing w:before="160" w:after="60"/>
      </w:pPr>
      <w:r>
        <w:rPr>
          <w:b/>
          <w:color w:val="996600"/>
          <w:sz w:val="22"/>
        </w:rPr>
        <w:t>7.  Do I need to share my scores or employer?</w:t>
      </w:r>
    </w:p>
    <w:p>
      <w:pPr>
        <w:spacing w:after="160"/>
      </w:pPr>
      <w:r>
        <w:rPr>
          <w:b w:val="0"/>
          <w:i w:val="0"/>
          <w:color w:val="000000"/>
          <w:sz w:val="21"/>
        </w:rPr>
        <w:t>No. Your scores, your workbook writing, and any employer information stay private throughout. Only anonymous, room-level counts are ever used during the session.</w:t>
      </w:r>
    </w:p>
    <w:p>
      <w:pPr>
        <w:keepNext/>
        <w:spacing w:before="160" w:after="60"/>
      </w:pPr>
      <w:r>
        <w:rPr>
          <w:b/>
          <w:color w:val="996600"/>
          <w:sz w:val="22"/>
        </w:rPr>
        <w:t>8.  Can I join from a phone?</w:t>
      </w:r>
    </w:p>
    <w:p>
      <w:pPr>
        <w:spacing w:after="160"/>
      </w:pPr>
      <w:r>
        <w:rPr>
          <w:b w:val="0"/>
          <w:i w:val="0"/>
          <w:color w:val="000000"/>
          <w:sz w:val="21"/>
        </w:rPr>
        <w:t>We strongly discourage it. You'll be scoring, totaling, and writing throughout the session, and a phone screen makes that meaningfully harder. Please plan to join from a laptop or desktop.</w:t>
      </w:r>
    </w:p>
    <w:p>
      <w:pPr>
        <w:keepNext/>
        <w:spacing w:before="160" w:after="60"/>
      </w:pPr>
      <w:r>
        <w:rPr>
          <w:b/>
          <w:color w:val="996600"/>
          <w:sz w:val="22"/>
        </w:rPr>
        <w:t>9.  What if Adobe Reader does not work?</w:t>
      </w:r>
    </w:p>
    <w:p>
      <w:pPr>
        <w:spacing w:after="160"/>
      </w:pPr>
      <w:r>
        <w:rPr>
          <w:b w:val="0"/>
          <w:i w:val="0"/>
          <w:color w:val="000000"/>
          <w:sz w:val="21"/>
        </w:rPr>
        <w:t>If a fillable PDF does not cooperate, stay in the session. Use the PDF as your reference and write your scores, evidence, totals, and reflections on paper or in a blank document. You can total by hand. The method does not depend on the form fields working.</w:t>
      </w:r>
    </w:p>
    <w:p>
      <w:pPr>
        <w:spacing w:after="160"/>
      </w:pPr>
      <w:r>
        <w:rPr>
          <w:b w:val="0"/>
          <w:i w:val="0"/>
          <w:color w:val="000000"/>
          <w:sz w:val="21"/>
        </w:rPr>
        <w:t>If Part A will not open at all before the session, contact [SUPPORT EMAIL] so we can resolve access before Thursday, September 10, 2026.</w:t>
      </w:r>
    </w:p>
    <w:p>
      <w:pPr>
        <w:keepNext/>
        <w:spacing w:before="160" w:after="60"/>
      </w:pPr>
      <w:r>
        <w:rPr>
          <w:b/>
          <w:color w:val="996600"/>
          <w:sz w:val="22"/>
        </w:rPr>
        <w:t>10.  What happens if I arrive late?</w:t>
      </w:r>
    </w:p>
    <w:p>
      <w:pPr>
        <w:spacing w:after="160"/>
      </w:pPr>
      <w:r>
        <w:rPr>
          <w:b w:val="0"/>
          <w:i w:val="0"/>
          <w:color w:val="000000"/>
          <w:sz w:val="21"/>
        </w:rPr>
        <w:t>The assessment method begins eight minutes after the scheduled start. A new participant cannot be admitted after that point, because the first reading depends on conditions that are only in place at the very start of the session.</w:t>
      </w:r>
    </w:p>
    <w:p>
      <w:pPr>
        <w:spacing w:after="160"/>
      </w:pPr>
      <w:r>
        <w:rPr>
          <w:b w:val="0"/>
          <w:i w:val="0"/>
          <w:color w:val="000000"/>
          <w:sz w:val="21"/>
        </w:rPr>
        <w:t>If you were already in the room and briefly lose connection, that's different — you may rejoin at the next natural pause without any trouble.</w:t>
      </w:r>
    </w:p>
    <w:p>
      <w:pPr>
        <w:keepNext/>
        <w:spacing w:before="160" w:after="60"/>
      </w:pPr>
      <w:r>
        <w:rPr>
          <w:b/>
          <w:color w:val="996600"/>
          <w:sz w:val="22"/>
        </w:rPr>
        <w:t>11.  Is the Field Kit included?</w:t>
      </w:r>
    </w:p>
    <w:p>
      <w:pPr>
        <w:spacing w:after="160"/>
      </w:pPr>
      <w:r>
        <w:rPr>
          <w:b w:val="0"/>
          <w:i w:val="0"/>
          <w:color w:val="000000"/>
          <w:sz w:val="21"/>
        </w:rPr>
        <w:t>Yes. The Capability Formation Field Kit is included in your workshop enrollment at no additional cost, and is delivered after the live session.</w:t>
      </w:r>
    </w:p>
    <w:p>
      <w:pPr>
        <w:keepNext/>
        <w:spacing w:before="160" w:after="60"/>
      </w:pPr>
      <w:r>
        <w:rPr>
          <w:b/>
          <w:color w:val="996600"/>
          <w:sz w:val="22"/>
        </w:rPr>
        <w:t>12.  Will I get a replay?</w:t>
      </w:r>
    </w:p>
    <w:p>
      <w:pPr>
        <w:spacing w:after="160"/>
      </w:pPr>
      <w:r>
        <w:rPr>
          <w:b w:val="0"/>
          <w:i w:val="0"/>
          <w:color w:val="000000"/>
          <w:sz w:val="21"/>
        </w:rPr>
        <w:t>No. The Thursday, September 10, 2026 session is not recorded, so there is no replay. Your completed Part A and Part B remain your private session record. Afterward you receive your included Field Kit, 30-Day Evidence Review materials, and the 90-day rescore process.</w:t>
      </w:r>
    </w:p>
    <w:p>
      <w:pPr>
        <w:spacing w:before="120" w:after="120"/>
      </w:pPr>
      <w:r>
        <w:rPr>
          <w:color w:val="555555"/>
          <w:sz w:val="16"/>
        </w:rPr>
        <w:t>――――――――――――――――――――――――――――――――――――――――――――――――――――――――――――――――――――――――――――――</w:t>
      </w:r>
    </w:p>
    <w:p>
      <w:pPr>
        <w:keepNext/>
        <w:spacing w:before="280" w:after="80"/>
      </w:pPr>
      <w:r>
        <w:rPr>
          <w:b/>
          <w:color w:val="0F2347"/>
          <w:sz w:val="25"/>
        </w:rPr>
        <w:t>Educational boundary</w:t>
      </w:r>
    </w:p>
    <w:p>
      <w:pPr>
        <w:spacing w:after="160"/>
      </w:pPr>
      <w:r>
        <w:rPr>
          <w:b w:val="0"/>
          <w:i w:val="0"/>
          <w:color w:val="000000"/>
          <w:sz w:val="21"/>
        </w:rPr>
        <w:t>This workshop is educational and professional-development work.</w:t>
      </w:r>
    </w:p>
    <w:p>
      <w:pPr>
        <w:spacing w:after="80"/>
      </w:pPr>
      <w:r>
        <w:rPr>
          <w:b w:val="0"/>
          <w:i w:val="0"/>
          <w:color w:val="000000"/>
          <w:sz w:val="21"/>
        </w:rPr>
        <w:t>It does not provide:</w:t>
      </w:r>
    </w:p>
    <w:p>
      <w:pPr>
        <w:pStyle w:val="ListBullet"/>
        <w:spacing w:after="60"/>
      </w:pPr>
      <w:r>
        <w:rPr>
          <w:color w:val="000000"/>
          <w:sz w:val="21"/>
        </w:rPr>
        <w:t>legal advice</w:t>
      </w:r>
    </w:p>
    <w:p>
      <w:pPr>
        <w:pStyle w:val="ListBullet"/>
        <w:spacing w:after="60"/>
      </w:pPr>
      <w:r>
        <w:rPr>
          <w:color w:val="000000"/>
          <w:sz w:val="21"/>
        </w:rPr>
        <w:t>immigration advice</w:t>
      </w:r>
    </w:p>
    <w:p>
      <w:pPr>
        <w:pStyle w:val="ListBullet"/>
        <w:spacing w:after="60"/>
      </w:pPr>
      <w:r>
        <w:rPr>
          <w:color w:val="000000"/>
          <w:sz w:val="21"/>
        </w:rPr>
        <w:t>tax advice</w:t>
      </w:r>
    </w:p>
    <w:p>
      <w:pPr>
        <w:pStyle w:val="ListBullet"/>
        <w:spacing w:after="60"/>
      </w:pPr>
      <w:r>
        <w:rPr>
          <w:color w:val="000000"/>
          <w:sz w:val="21"/>
        </w:rPr>
        <w:t>financial advice</w:t>
      </w:r>
    </w:p>
    <w:p>
      <w:pPr>
        <w:pStyle w:val="ListBullet"/>
        <w:spacing w:after="60"/>
      </w:pPr>
      <w:r>
        <w:rPr>
          <w:color w:val="000000"/>
          <w:sz w:val="21"/>
        </w:rPr>
        <w:t>compensation advice</w:t>
      </w:r>
    </w:p>
    <w:p>
      <w:pPr>
        <w:pStyle w:val="ListBullet"/>
        <w:spacing w:after="60"/>
      </w:pPr>
      <w:r>
        <w:rPr>
          <w:color w:val="000000"/>
          <w:sz w:val="21"/>
        </w:rPr>
        <w:t>medical advice</w:t>
      </w:r>
    </w:p>
    <w:p>
      <w:pPr>
        <w:pStyle w:val="ListBullet"/>
        <w:spacing w:after="60"/>
      </w:pPr>
      <w:r>
        <w:rPr>
          <w:color w:val="000000"/>
          <w:sz w:val="21"/>
        </w:rPr>
        <w:t>mental-health treatment</w:t>
      </w:r>
    </w:p>
    <w:p>
      <w:pPr>
        <w:pStyle w:val="ListBullet"/>
        <w:spacing w:after="60"/>
      </w:pPr>
      <w:r>
        <w:rPr>
          <w:color w:val="000000"/>
          <w:sz w:val="21"/>
        </w:rPr>
        <w:t>employment-law advice</w:t>
      </w:r>
    </w:p>
    <w:p>
      <w:pPr>
        <w:spacing w:after="160"/>
      </w:pPr>
      <w:r>
        <w:rPr>
          <w:b w:val="0"/>
          <w:i w:val="0"/>
          <w:color w:val="555555"/>
          <w:sz w:val="20"/>
        </w:rPr>
        <w:t>If any of those apply to your situation, please bring in a licensed professional alongside this work — the two are complementary, not substitutes for each other.</w:t>
      </w:r>
    </w:p>
    <w:p>
      <w:pPr>
        <w:spacing w:before="120" w:after="120"/>
      </w:pPr>
      <w:r>
        <w:rPr>
          <w:color w:val="555555"/>
          <w:sz w:val="16"/>
        </w:rPr>
        <w:t>――――――――――――――――――――――――――――――――――――――――――――――――――――――――――――――――――――――――――――――</w:t>
      </w:r>
    </w:p>
    <w:p>
      <w:pPr>
        <w:spacing w:after="0"/>
      </w:pPr>
      <w:r>
        <w:rPr>
          <w:b w:val="0"/>
          <w:i w:val="0"/>
          <w:color w:val="000000"/>
          <w:sz w:val="20"/>
        </w:rPr>
        <w:t>Still have a question? Write to us at [SUPPORT EMAIL].</w:t>
      </w:r>
    </w:p>
    <w:p>
      <w:pPr>
        <w:spacing w:before="120" w:after="120"/>
      </w:pPr>
      <w:r>
        <w:rPr>
          <w:color w:val="555555"/>
          <w:sz w:val="16"/>
        </w:rPr>
        <w:t>――――――――――――――――――――――――――――――――――――――――――――――――――――――――――――――――――――――――――――――</w:t>
      </w:r>
    </w:p>
    <w:p>
      <w:pPr>
        <w:spacing w:after="0"/>
      </w:pPr>
      <w:r>
        <w:rPr>
          <w:b w:val="0"/>
          <w:i/>
          <w:color w:val="555555"/>
          <w:sz w:val="16"/>
        </w:rPr>
        <w:t>PAID WORKSHOP — PARTICIPANT FAQ v1.1  ·  Decide Whether to Stay or Leave Your Job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