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Phase 2C — QA Report</w:t>
            </w:r>
          </w:p>
          <w:p>
            <w:pPr>
              <w:spacing w:after="120"/>
            </w:pPr>
            <w:r>
              <w:rPr>
                <w:i/>
                <w:color w:val="E3D9C4"/>
                <w:sz w:val="22"/>
              </w:rPr>
              <w:t>Decide Whether to Stay or Leave Your Job</w:t>
            </w:r>
          </w:p>
        </w:tc>
      </w:tr>
    </w:tbl>
    <w:p>
      <w:pPr>
        <w:spacing w:after="80"/>
      </w:pPr>
    </w:p>
    <w:p>
      <w:pPr>
        <w:spacing w:after="200"/>
      </w:pPr>
      <w:r>
        <w:rPr>
          <w:b/>
          <w:i w:val="0"/>
          <w:color w:val="B00000"/>
          <w:sz w:val="20"/>
        </w:rPr>
        <w:t>Verifies the "Controlled v1.1 Cross-Asset Alignment Patch": the impossible pre-filled Complete Session Record promise, the 90-day evidence-window contradiction, the incomplete 12–22 private-review segment, participant-sheet distribution timing, the Field Kit redemption deadline, and the Part A/B PDF fallback. No Phase 2A file, Phase 2B file, frozen deck, or published Field Kit was edited in this pass. Checks below verify semantic claims across files, not only keyword presence.</w:t>
      </w:r>
    </w:p>
    <w:p>
      <w:pPr>
        <w:spacing w:before="120" w:after="12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264"/>
            <w:shd w:val="clear" w:fill="0F2347"/>
          </w:tcPr>
          <w:p>
            <w:r/>
            <w:r>
              <w:rPr>
                <w:b/>
                <w:color w:val="FFFFFF"/>
                <w:sz w:val="19"/>
              </w:rPr>
              <w:t>Check</w:t>
            </w:r>
          </w:p>
        </w:tc>
        <w:tc>
          <w:tcPr>
            <w:tcW w:type="dxa" w:w="2952"/>
            <w:shd w:val="clear" w:fill="0F2347"/>
          </w:tcPr>
          <w:p>
            <w:r/>
            <w:r>
              <w:rPr>
                <w:b/>
                <w:color w:val="FFFFFF"/>
                <w:sz w:val="19"/>
              </w:rPr>
              <w:t>Result</w:t>
            </w:r>
          </w:p>
        </w:tc>
      </w:tr>
      <w:tr>
        <w:tc>
          <w:tcPr>
            <w:tcW w:type="dxa" w:w="504"/>
          </w:tcPr>
          <w:p>
            <w:r/>
            <w:r>
              <w:rPr>
                <w:sz w:val="18"/>
              </w:rPr>
              <w:t>1</w:t>
            </w:r>
          </w:p>
        </w:tc>
        <w:tc>
          <w:tcPr>
            <w:tcW w:type="dxa" w:w="6264"/>
          </w:tcPr>
          <w:p>
            <w:r/>
            <w:r>
              <w:rPr>
                <w:sz w:val="18"/>
              </w:rPr>
              <w:t>No participant-facing file promises a pre-filled Complete Session Record</w:t>
            </w:r>
          </w:p>
        </w:tc>
        <w:tc>
          <w:tcPr>
            <w:tcW w:type="dxa" w:w="2952"/>
          </w:tcPr>
          <w:p>
            <w:r>
              <w:rPr>
                <w:b/>
                <w:color w:val="1A7A1A"/>
                <w:sz w:val="18"/>
              </w:rPr>
              <w:t>PASS — the "Your Complete Session Record / Link: [...]" block is removed from the Post-Session Email. Grepped all 11 v1.1 docx files for "Complete Session Record": the only 2 remaining hits are in the Asset Manifest's retirement note and Phase 2D alignment note, neither participant-facing. [COMPLETE SESSION RECORD LINK] no longer appears as a required placeholder in any row of the manifest's file table.</w:t>
            </w:r>
          </w:p>
        </w:tc>
      </w:tr>
      <w:tr>
        <w:tc>
          <w:tcPr>
            <w:tcW w:type="dxa" w:w="504"/>
          </w:tcPr>
          <w:p>
            <w:r/>
            <w:r>
              <w:rPr>
                <w:sz w:val="18"/>
              </w:rPr>
              <w:t>2</w:t>
            </w:r>
          </w:p>
        </w:tc>
        <w:tc>
          <w:tcPr>
            <w:tcW w:type="dxa" w:w="6264"/>
          </w:tcPr>
          <w:p>
            <w:r/>
            <w:r>
              <w:rPr>
                <w:sz w:val="18"/>
              </w:rPr>
              <w:t>Completed Part A + Part B are correctly described as the participant's private session record</w:t>
            </w:r>
          </w:p>
        </w:tc>
        <w:tc>
          <w:tcPr>
            <w:tcW w:type="dxa" w:w="2952"/>
          </w:tcPr>
          <w:p>
            <w:r>
              <w:rPr>
                <w:b/>
                <w:color w:val="1A7A1A"/>
                <w:sz w:val="18"/>
              </w:rPr>
              <w:t>PASS — the exact required sentence ("Keep the completed Part A and Part B files you used during the workshop. Together, they are your private session record.") is present verbatim in the Post-Session Email, and the same Part A + Part B framing is used in the 30-Day 24-Hour Reminder's "Please bring" list, the Evidence Review Facilitator Guide's 5–12 segment, and FAQ Q12.</w:t>
            </w:r>
          </w:p>
        </w:tc>
      </w:tr>
      <w:tr>
        <w:tc>
          <w:tcPr>
            <w:tcW w:type="dxa" w:w="504"/>
          </w:tcPr>
          <w:p>
            <w:r/>
            <w:r>
              <w:rPr>
                <w:sz w:val="18"/>
              </w:rPr>
              <w:t>3</w:t>
            </w:r>
          </w:p>
        </w:tc>
        <w:tc>
          <w:tcPr>
            <w:tcW w:type="dxa" w:w="6264"/>
          </w:tcPr>
          <w:p>
            <w:r/>
            <w:r>
              <w:rPr>
                <w:sz w:val="18"/>
              </w:rPr>
              <w:t>No participant workbook upload/submission is requested</w:t>
            </w:r>
          </w:p>
        </w:tc>
        <w:tc>
          <w:tcPr>
            <w:tcW w:type="dxa" w:w="2952"/>
          </w:tcPr>
          <w:p>
            <w:r>
              <w:rPr>
                <w:b/>
                <w:color w:val="1A7A1A"/>
                <w:sz w:val="18"/>
              </w:rPr>
              <w:t>PASS — no document instructs a participant to upload, email, or submit their Part A or Part B files; every reference asks them only to locate and keep files already in their own possession.</w:t>
            </w:r>
          </w:p>
        </w:tc>
      </w:tr>
      <w:tr>
        <w:tc>
          <w:tcPr>
            <w:tcW w:type="dxa" w:w="504"/>
          </w:tcPr>
          <w:p>
            <w:r/>
            <w:r>
              <w:rPr>
                <w:sz w:val="18"/>
              </w:rPr>
              <w:t>4</w:t>
            </w:r>
          </w:p>
        </w:tc>
        <w:tc>
          <w:tcPr>
            <w:tcW w:type="dxa" w:w="6264"/>
          </w:tcPr>
          <w:p>
            <w:r/>
            <w:r>
              <w:rPr>
                <w:sz w:val="18"/>
              </w:rPr>
              <w:t>30-Day reminder asks for Part A/Part B rather than an impossible filled combined file</w:t>
            </w:r>
          </w:p>
        </w:tc>
        <w:tc>
          <w:tcPr>
            <w:tcW w:type="dxa" w:w="2952"/>
          </w:tcPr>
          <w:p>
            <w:r>
              <w:rPr>
                <w:b/>
                <w:color w:val="1A7A1A"/>
                <w:sz w:val="18"/>
              </w:rPr>
              <w:t>PASS — the 30-Day Evidence Review 24-Hour Reminder's "Please bring" list now reads "Your completed Part A and Part B files, or the notes you saved from the workshop," replacing the prior "Your Complete Session Record" bullet.</w:t>
            </w:r>
          </w:p>
        </w:tc>
      </w:tr>
      <w:tr>
        <w:tc>
          <w:tcPr>
            <w:tcW w:type="dxa" w:w="504"/>
          </w:tcPr>
          <w:p>
            <w:r/>
            <w:r>
              <w:rPr>
                <w:sz w:val="18"/>
              </w:rPr>
              <w:t>5</w:t>
            </w:r>
          </w:p>
        </w:tc>
        <w:tc>
          <w:tcPr>
            <w:tcW w:type="dxa" w:w="6264"/>
          </w:tcPr>
          <w:p>
            <w:r/>
            <w:r>
              <w:rPr>
                <w:sz w:val="18"/>
              </w:rPr>
              <w:t>90-day reminder includes the first 30 days inside the new 90-day evidence window</w:t>
            </w:r>
          </w:p>
        </w:tc>
        <w:tc>
          <w:tcPr>
            <w:tcW w:type="dxa" w:w="2952"/>
          </w:tcPr>
          <w:p>
            <w:r>
              <w:rPr>
                <w:b/>
                <w:color w:val="1A7A1A"/>
                <w:sz w:val="18"/>
              </w:rPr>
              <w:t>PASS — the 90-Day Rescore Reminder states verbatim: "Use the full new 90-day window leading up to today. Your 30-Day Evidence Review notes are part of that window, so include them where they document relevant events."</w:t>
            </w:r>
          </w:p>
        </w:tc>
      </w:tr>
      <w:tr>
        <w:tc>
          <w:tcPr>
            <w:tcW w:type="dxa" w:w="504"/>
          </w:tcPr>
          <w:p>
            <w:r/>
            <w:r>
              <w:rPr>
                <w:sz w:val="18"/>
              </w:rPr>
              <w:t>6</w:t>
            </w:r>
          </w:p>
        </w:tc>
        <w:tc>
          <w:tcPr>
            <w:tcW w:type="dxa" w:w="6264"/>
          </w:tcPr>
          <w:p>
            <w:r/>
            <w:r>
              <w:rPr>
                <w:sz w:val="18"/>
              </w:rPr>
              <w:t>Pre-September 10 evidence is not reused for the December read</w:t>
            </w:r>
          </w:p>
        </w:tc>
        <w:tc>
          <w:tcPr>
            <w:tcW w:type="dxa" w:w="2952"/>
          </w:tcPr>
          <w:p>
            <w:r>
              <w:rPr>
                <w:b/>
                <w:color w:val="1A7A1A"/>
                <w:sz w:val="18"/>
              </w:rPr>
              <w:t>PASS — the same paragraph closes with "Do not reach back to evidence that predates your September 10 read," drawing the boundary at September 10 rather than at the 30-day mark, resolving the prior contradiction without excluding valid 30–90-day evidence.</w:t>
            </w:r>
          </w:p>
        </w:tc>
      </w:tr>
      <w:tr>
        <w:tc>
          <w:tcPr>
            <w:tcW w:type="dxa" w:w="504"/>
          </w:tcPr>
          <w:p>
            <w:r/>
            <w:r>
              <w:rPr>
                <w:sz w:val="18"/>
              </w:rPr>
              <w:t>7</w:t>
            </w:r>
          </w:p>
        </w:tc>
        <w:tc>
          <w:tcPr>
            <w:tcW w:type="dxa" w:w="6264"/>
          </w:tcPr>
          <w:p>
            <w:r/>
            <w:r>
              <w:rPr>
                <w:sz w:val="18"/>
              </w:rPr>
              <w:t>Field Kit self-guided rescore is not described as identical to the live two-pass method</w:t>
            </w:r>
          </w:p>
        </w:tc>
        <w:tc>
          <w:tcPr>
            <w:tcW w:type="dxa" w:w="2952"/>
          </w:tcPr>
          <w:p>
            <w:r>
              <w:rPr>
                <w:b/>
                <w:color w:val="1A7A1A"/>
                <w:sz w:val="18"/>
              </w:rPr>
              <w:t>PASS — "the same way you did on September 10" is removed from the 90-Day Rescore Reminder; the instruction now reads "Complete all 12 statements using the Field Kit's self-guided evidence protocol," naming a distinct method rather than equating it with the live staged process.</w:t>
            </w:r>
          </w:p>
        </w:tc>
      </w:tr>
      <w:tr>
        <w:tc>
          <w:tcPr>
            <w:tcW w:type="dxa" w:w="504"/>
          </w:tcPr>
          <w:p>
            <w:r/>
            <w:r>
              <w:rPr>
                <w:sz w:val="18"/>
              </w:rPr>
              <w:t>8</w:t>
            </w:r>
          </w:p>
        </w:tc>
        <w:tc>
          <w:tcPr>
            <w:tcW w:type="dxa" w:w="6264"/>
          </w:tcPr>
          <w:p>
            <w:r/>
            <w:r>
              <w:rPr>
                <w:sz w:val="18"/>
              </w:rPr>
              <w:t>Prompts 1–6 are completed during minutes 12–22</w:t>
            </w:r>
          </w:p>
        </w:tc>
        <w:tc>
          <w:tcPr>
            <w:tcW w:type="dxa" w:w="2952"/>
          </w:tcPr>
          <w:p>
            <w:r>
              <w:rPr>
                <w:b/>
                <w:color w:val="1A7A1A"/>
                <w:sz w:val="18"/>
              </w:rPr>
              <w:t>PASS — the Evidence Review Facilitator Guide's 12–22 segment SAY line now reads "complete short responses to prompts 1 through 6" (was: "you're not filling in every line yet — just reading"); the participant-action field was updated to match, and the ten-minute block length is unchanged.</w:t>
            </w:r>
          </w:p>
        </w:tc>
      </w:tr>
      <w:tr>
        <w:tc>
          <w:tcPr>
            <w:tcW w:type="dxa" w:w="504"/>
          </w:tcPr>
          <w:p>
            <w:r/>
            <w:r>
              <w:rPr>
                <w:sz w:val="18"/>
              </w:rPr>
              <w:t>9</w:t>
            </w:r>
          </w:p>
        </w:tc>
        <w:tc>
          <w:tcPr>
            <w:tcW w:type="dxa" w:w="6264"/>
          </w:tcPr>
          <w:p>
            <w:r/>
            <w:r>
              <w:rPr>
                <w:sz w:val="18"/>
              </w:rPr>
              <w:t>Participant sheet is distributed October 7</w:t>
            </w:r>
          </w:p>
        </w:tc>
        <w:tc>
          <w:tcPr>
            <w:tcW w:type="dxa" w:w="2952"/>
          </w:tcPr>
          <w:p>
            <w:r>
              <w:rPr>
                <w:b/>
                <w:color w:val="1A7A1A"/>
                <w:sz w:val="18"/>
              </w:rPr>
              <w:t>PASS — the 30-Day Evidence Review 24-Hour Reminder (sent October 7) now contains a dedicated "Participant Sheet" section with both format links; the Asset Manifest's distribution-policy section and file-table rows both state "Distributed October 7."</w:t>
            </w:r>
          </w:p>
        </w:tc>
      </w:tr>
      <w:tr>
        <w:tc>
          <w:tcPr>
            <w:tcW w:type="dxa" w:w="504"/>
          </w:tcPr>
          <w:p>
            <w:r/>
            <w:r>
              <w:rPr>
                <w:sz w:val="18"/>
              </w:rPr>
              <w:t>10</w:t>
            </w:r>
          </w:p>
        </w:tc>
        <w:tc>
          <w:tcPr>
            <w:tcW w:type="dxa" w:w="6264"/>
          </w:tcPr>
          <w:p>
            <w:r/>
            <w:r>
              <w:rPr>
                <w:sz w:val="18"/>
              </w:rPr>
              <w:t>DOCX and PDF participant-sheet links are included</w:t>
            </w:r>
          </w:p>
        </w:tc>
        <w:tc>
          <w:tcPr>
            <w:tcW w:type="dxa" w:w="2952"/>
          </w:tcPr>
          <w:p>
            <w:r>
              <w:rPr>
                <w:b/>
                <w:color w:val="1A7A1A"/>
                <w:sz w:val="18"/>
              </w:rPr>
              <w:t>PASS — [30-DAY PARTICIPANT SHEET DOCX LINK] ("Type on screen") and [30-DAY PARTICIPANT SHEET PDF LINK] ("Print / write by hand") both appear in the 24-Hour Reminder and in the Asset Manifest's placeholder list.</w:t>
            </w:r>
          </w:p>
        </w:tc>
      </w:tr>
      <w:tr>
        <w:tc>
          <w:tcPr>
            <w:tcW w:type="dxa" w:w="504"/>
          </w:tcPr>
          <w:p>
            <w:r/>
            <w:r>
              <w:rPr>
                <w:sz w:val="18"/>
              </w:rPr>
              <w:t>11</w:t>
            </w:r>
          </w:p>
        </w:tc>
        <w:tc>
          <w:tcPr>
            <w:tcW w:type="dxa" w:w="6264"/>
          </w:tcPr>
          <w:p>
            <w:r/>
            <w:r>
              <w:rPr>
                <w:sz w:val="18"/>
              </w:rPr>
              <w:t>Participant sheet is not required to be completed before October 8</w:t>
            </w:r>
          </w:p>
        </w:tc>
        <w:tc>
          <w:tcPr>
            <w:tcW w:type="dxa" w:w="2952"/>
          </w:tcPr>
          <w:p>
            <w:r>
              <w:rPr>
                <w:b/>
                <w:color w:val="1A7A1A"/>
                <w:sz w:val="18"/>
              </w:rPr>
              <w:t>PASS — the distribution instruction states verbatim "Download it before tomorrow. You do not need to complete it in advance," and the 24-Hour Reminder's reading-not-scoring line was generalized from "today is about..." to "The Evidence Review is about reading the evidence you've already gathered, not producing new scores" so it holds regardless of when the sheet is opened.</w:t>
            </w:r>
          </w:p>
        </w:tc>
      </w:tr>
      <w:tr>
        <w:tc>
          <w:tcPr>
            <w:tcW w:type="dxa" w:w="504"/>
          </w:tcPr>
          <w:p>
            <w:r/>
            <w:r>
              <w:rPr>
                <w:sz w:val="18"/>
              </w:rPr>
              <w:t>12</w:t>
            </w:r>
          </w:p>
        </w:tc>
        <w:tc>
          <w:tcPr>
            <w:tcW w:type="dxa" w:w="6264"/>
          </w:tcPr>
          <w:p>
            <w:r/>
            <w:r>
              <w:rPr>
                <w:sz w:val="18"/>
              </w:rPr>
              <w:t>Field Kit redemption deadline placeholder exists</w:t>
            </w:r>
          </w:p>
        </w:tc>
        <w:tc>
          <w:tcPr>
            <w:tcW w:type="dxa" w:w="2952"/>
          </w:tcPr>
          <w:p>
            <w:r>
              <w:rPr>
                <w:b/>
                <w:color w:val="1A7A1A"/>
                <w:sz w:val="18"/>
              </w:rPr>
              <w:t>PASS — [FIELD KIT REDEMPTION DEADLINE] appears in the Post-Session Email ("Please redeem your included copy by...") and is listed as a required placeholder in the Asset Manifest.</w:t>
            </w:r>
          </w:p>
        </w:tc>
      </w:tr>
      <w:tr>
        <w:tc>
          <w:tcPr>
            <w:tcW w:type="dxa" w:w="504"/>
          </w:tcPr>
          <w:p>
            <w:r/>
            <w:r>
              <w:rPr>
                <w:sz w:val="18"/>
              </w:rPr>
              <w:t>13</w:t>
            </w:r>
          </w:p>
        </w:tc>
        <w:tc>
          <w:tcPr>
            <w:tcW w:type="dxa" w:w="6264"/>
          </w:tcPr>
          <w:p>
            <w:r/>
            <w:r>
              <w:rPr>
                <w:sz w:val="18"/>
              </w:rPr>
              <w:t>Redemption deadline must match Gumroad validity before launch</w:t>
            </w:r>
          </w:p>
        </w:tc>
        <w:tc>
          <w:tcPr>
            <w:tcW w:type="dxa" w:w="2952"/>
          </w:tcPr>
          <w:p>
            <w:r>
              <w:rPr>
                <w:b/>
                <w:color w:val="1A7A1A"/>
                <w:sz w:val="18"/>
              </w:rPr>
              <w:t>PASS — the Fulfillment SOP's new "Pre-launch verification" section requires verifying the actual code, validity start, validity end, and "the participant-facing redemption deadline — this must match the live Gumroad configuration exactly, not the recommended operating window."</w:t>
            </w:r>
          </w:p>
        </w:tc>
      </w:tr>
      <w:tr>
        <w:tc>
          <w:tcPr>
            <w:tcW w:type="dxa" w:w="504"/>
          </w:tcPr>
          <w:p>
            <w:r/>
            <w:r>
              <w:rPr>
                <w:sz w:val="18"/>
              </w:rPr>
              <w:t>14</w:t>
            </w:r>
          </w:p>
        </w:tc>
        <w:tc>
          <w:tcPr>
            <w:tcW w:type="dxa" w:w="6264"/>
          </w:tcPr>
          <w:p>
            <w:r/>
            <w:r>
              <w:rPr>
                <w:sz w:val="18"/>
              </w:rPr>
              <w:t>Part A print backup is available before the workshop</w:t>
            </w:r>
          </w:p>
        </w:tc>
        <w:tc>
          <w:tcPr>
            <w:tcW w:type="dxa" w:w="2952"/>
          </w:tcPr>
          <w:p>
            <w:r>
              <w:rPr>
                <w:b/>
                <w:color w:val="1A7A1A"/>
                <w:sz w:val="18"/>
              </w:rPr>
              <w:t>PASS — [PART A PRINT LINK] is present alongside the fillable [PART A LINK] in both the Welcome Email ("Fillable" / "Print backup") and the 24-Hour Reminder, both sent before September 10.</w:t>
            </w:r>
          </w:p>
        </w:tc>
      </w:tr>
      <w:tr>
        <w:tc>
          <w:tcPr>
            <w:tcW w:type="dxa" w:w="504"/>
          </w:tcPr>
          <w:p>
            <w:r/>
            <w:r>
              <w:rPr>
                <w:sz w:val="18"/>
              </w:rPr>
              <w:t>15</w:t>
            </w:r>
          </w:p>
        </w:tc>
        <w:tc>
          <w:tcPr>
            <w:tcW w:type="dxa" w:w="6264"/>
          </w:tcPr>
          <w:p>
            <w:r/>
            <w:r>
              <w:rPr>
                <w:sz w:val="18"/>
              </w:rPr>
              <w:t>Manual fallback works for both Part A and Part B</w:t>
            </w:r>
          </w:p>
        </w:tc>
        <w:tc>
          <w:tcPr>
            <w:tcW w:type="dxa" w:w="2952"/>
          </w:tcPr>
          <w:p>
            <w:r>
              <w:rPr>
                <w:b/>
                <w:color w:val="1A7A1A"/>
                <w:sz w:val="18"/>
              </w:rPr>
              <w:t>PASS — FAQ Q9 is rewritten to a method-level fallback ("write your scores, evidence, totals, and reflections on paper or in a blank document... The method does not depend on the form fields working"), no longer scoped to Part A's print version only; the One-Hour Reminder adds "use your print/manual backup rather than troubleshooting during the live room."</w:t>
            </w:r>
          </w:p>
        </w:tc>
      </w:tr>
      <w:tr>
        <w:tc>
          <w:tcPr>
            <w:tcW w:type="dxa" w:w="504"/>
          </w:tcPr>
          <w:p>
            <w:r/>
            <w:r>
              <w:rPr>
                <w:sz w:val="18"/>
              </w:rPr>
              <w:t>16</w:t>
            </w:r>
          </w:p>
        </w:tc>
        <w:tc>
          <w:tcPr>
            <w:tcW w:type="dxa" w:w="6264"/>
          </w:tcPr>
          <w:p>
            <w:r/>
            <w:r>
              <w:rPr>
                <w:sz w:val="18"/>
              </w:rPr>
              <w:t>Prompt 10 says "if any"</w:t>
            </w:r>
          </w:p>
        </w:tc>
        <w:tc>
          <w:tcPr>
            <w:tcW w:type="dxa" w:w="2952"/>
          </w:tcPr>
          <w:p>
            <w:r>
              <w:rPr>
                <w:b/>
                <w:color w:val="1A7A1A"/>
                <w:sz w:val="18"/>
              </w:rPr>
              <w:t>PASS — "The conversation I need to have, if any, is:" confirmed in both the Participant Sheet docx and PDF (rendered and visually verified, page 2), and the matching Facilitator Guide language ("the conversation, if any, that still needs to happen") in the 30–38 segment.</w:t>
            </w:r>
          </w:p>
        </w:tc>
      </w:tr>
      <w:tr>
        <w:tc>
          <w:tcPr>
            <w:tcW w:type="dxa" w:w="504"/>
          </w:tcPr>
          <w:p>
            <w:r/>
            <w:r>
              <w:rPr>
                <w:sz w:val="18"/>
              </w:rPr>
              <w:t>17</w:t>
            </w:r>
          </w:p>
        </w:tc>
        <w:tc>
          <w:tcPr>
            <w:tcW w:type="dxa" w:w="6264"/>
          </w:tcPr>
          <w:p>
            <w:r/>
            <w:r>
              <w:rPr>
                <w:sz w:val="18"/>
              </w:rPr>
              <w:t>FAQ recording policy applies specifically to September 10</w:t>
            </w:r>
          </w:p>
        </w:tc>
        <w:tc>
          <w:tcPr>
            <w:tcW w:type="dxa" w:w="2952"/>
          </w:tcPr>
          <w:p>
            <w:r>
              <w:rPr>
                <w:b/>
                <w:color w:val="1A7A1A"/>
                <w:sz w:val="18"/>
              </w:rPr>
              <w:t>PASS — FAQ Q6 now reads "No. The Thursday, September 10, 2026 session is not recorded, and no replay is provided," removing the prior "First live deliveries of this workshop are not recorded" language that implied a standing policy for future cohorts.</w:t>
            </w:r>
          </w:p>
        </w:tc>
      </w:tr>
      <w:tr>
        <w:tc>
          <w:tcPr>
            <w:tcW w:type="dxa" w:w="504"/>
          </w:tcPr>
          <w:p>
            <w:r/>
            <w:r>
              <w:rPr>
                <w:sz w:val="18"/>
              </w:rPr>
              <w:t>18</w:t>
            </w:r>
          </w:p>
        </w:tc>
        <w:tc>
          <w:tcPr>
            <w:tcW w:type="dxa" w:w="6264"/>
          </w:tcPr>
          <w:p>
            <w:r/>
            <w:r>
              <w:rPr>
                <w:sz w:val="18"/>
              </w:rPr>
              <w:t>90-day reminder provides a Field Kit access/support route</w:t>
            </w:r>
          </w:p>
        </w:tc>
        <w:tc>
          <w:tcPr>
            <w:tcW w:type="dxa" w:w="2952"/>
          </w:tcPr>
          <w:p>
            <w:r>
              <w:rPr>
                <w:b/>
                <w:color w:val="1A7A1A"/>
                <w:sz w:val="18"/>
              </w:rPr>
              <w:t>PASS — a new "Accessing your Field Kit" section reads verbatim "Open the Field Kit from your Gumroad library. If you cannot find your included copy, contact [SUPPORT EMAIL]."</w:t>
            </w:r>
          </w:p>
        </w:tc>
      </w:tr>
      <w:tr>
        <w:tc>
          <w:tcPr>
            <w:tcW w:type="dxa" w:w="504"/>
          </w:tcPr>
          <w:p>
            <w:r/>
            <w:r>
              <w:rPr>
                <w:sz w:val="18"/>
              </w:rPr>
              <w:t>19</w:t>
            </w:r>
          </w:p>
        </w:tc>
        <w:tc>
          <w:tcPr>
            <w:tcW w:type="dxa" w:w="6264"/>
          </w:tcPr>
          <w:p>
            <w:r/>
            <w:r>
              <w:rPr>
                <w:sz w:val="18"/>
              </w:rPr>
              <w:t>No replay promised</w:t>
            </w:r>
          </w:p>
        </w:tc>
        <w:tc>
          <w:tcPr>
            <w:tcW w:type="dxa" w:w="2952"/>
          </w:tcPr>
          <w:p>
            <w:r>
              <w:rPr>
                <w:b/>
                <w:color w:val="1A7A1A"/>
                <w:sz w:val="18"/>
              </w:rPr>
              <w:t>PASS — grepped all 11 v1.1 docx files for "replay": the only 2 hits (Evidence Review Facilitator Guide, FAQ Q6) are explicit negations.</w:t>
            </w:r>
          </w:p>
        </w:tc>
      </w:tr>
      <w:tr>
        <w:tc>
          <w:tcPr>
            <w:tcW w:type="dxa" w:w="504"/>
          </w:tcPr>
          <w:p>
            <w:r/>
            <w:r>
              <w:rPr>
                <w:sz w:val="18"/>
              </w:rPr>
              <w:t>20</w:t>
            </w:r>
          </w:p>
        </w:tc>
        <w:tc>
          <w:tcPr>
            <w:tcW w:type="dxa" w:w="6264"/>
          </w:tcPr>
          <w:p>
            <w:r/>
            <w:r>
              <w:rPr>
                <w:sz w:val="18"/>
              </w:rPr>
              <w:t>No private Evidence Review make-up promised</w:t>
            </w:r>
          </w:p>
        </w:tc>
        <w:tc>
          <w:tcPr>
            <w:tcW w:type="dxa" w:w="2952"/>
          </w:tcPr>
          <w:p>
            <w:r>
              <w:rPr>
                <w:b/>
                <w:color w:val="1A7A1A"/>
                <w:sz w:val="18"/>
              </w:rPr>
              <w:t>PASS — FAQ Q4 retains the exact required policy sentence verbatim, including "A private make-up session is not included."</w:t>
            </w:r>
          </w:p>
        </w:tc>
      </w:tr>
      <w:tr>
        <w:tc>
          <w:tcPr>
            <w:tcW w:type="dxa" w:w="504"/>
          </w:tcPr>
          <w:p>
            <w:r/>
            <w:r>
              <w:rPr>
                <w:sz w:val="18"/>
              </w:rPr>
              <w:t>21</w:t>
            </w:r>
          </w:p>
        </w:tc>
        <w:tc>
          <w:tcPr>
            <w:tcW w:type="dxa" w:w="6264"/>
          </w:tcPr>
          <w:p>
            <w:r/>
            <w:r>
              <w:rPr>
                <w:sz w:val="18"/>
              </w:rPr>
              <w:t>Dates remain correct</w:t>
            </w:r>
          </w:p>
        </w:tc>
        <w:tc>
          <w:tcPr>
            <w:tcW w:type="dxa" w:w="2952"/>
          </w:tcPr>
          <w:p>
            <w:r>
              <w:rPr>
                <w:b/>
                <w:color w:val="1A7A1A"/>
                <w:sz w:val="18"/>
              </w:rPr>
              <w:t>PASS — "Thursday, September 10, 2026," "Thursday, October 8, 2026," and "Wednesday, December 9, 2026" all confirmed present verbatim and unchanged from v1.0 across the Welcome Email, Post-Session Email, 90-Day Rescore Reminder, Facilitator Guide, and Participant Sheet.</w:t>
            </w:r>
          </w:p>
        </w:tc>
      </w:tr>
      <w:tr>
        <w:tc>
          <w:tcPr>
            <w:tcW w:type="dxa" w:w="504"/>
          </w:tcPr>
          <w:p>
            <w:r/>
            <w:r>
              <w:rPr>
                <w:sz w:val="18"/>
              </w:rPr>
              <w:t>22</w:t>
            </w:r>
          </w:p>
        </w:tc>
        <w:tc>
          <w:tcPr>
            <w:tcW w:type="dxa" w:w="6264"/>
          </w:tcPr>
          <w:p>
            <w:r/>
            <w:r>
              <w:rPr>
                <w:sz w:val="18"/>
              </w:rPr>
              <w:t>$500 remains correct</w:t>
            </w:r>
          </w:p>
        </w:tc>
        <w:tc>
          <w:tcPr>
            <w:tcW w:type="dxa" w:w="2952"/>
          </w:tcPr>
          <w:p>
            <w:r>
              <w:rPr>
                <w:b/>
                <w:color w:val="1A7A1A"/>
                <w:sz w:val="18"/>
              </w:rPr>
              <w:t>PASS — grepped all 11 v1.1 docx files for stale price points ($249, $349, $499): zero hits.</w:t>
            </w:r>
          </w:p>
        </w:tc>
      </w:tr>
      <w:tr>
        <w:tc>
          <w:tcPr>
            <w:tcW w:type="dxa" w:w="504"/>
          </w:tcPr>
          <w:p>
            <w:r/>
            <w:r>
              <w:rPr>
                <w:sz w:val="18"/>
              </w:rPr>
              <w:t>23</w:t>
            </w:r>
          </w:p>
        </w:tc>
        <w:tc>
          <w:tcPr>
            <w:tcW w:type="dxa" w:w="6264"/>
          </w:tcPr>
          <w:p>
            <w:r/>
            <w:r>
              <w:rPr>
                <w:sz w:val="18"/>
              </w:rPr>
              <w:t>12-person cap remains correct</w:t>
            </w:r>
          </w:p>
        </w:tc>
        <w:tc>
          <w:tcPr>
            <w:tcW w:type="dxa" w:w="2952"/>
          </w:tcPr>
          <w:p>
            <w:r>
              <w:rPr>
                <w:b/>
                <w:color w:val="1A7A1A"/>
                <w:sz w:val="18"/>
              </w:rPr>
              <w:t>PASS — "12 participants" / "12-person cohort" language unchanged from v1.0 in the Welcome Email, Participant FAQ, and Fulfillment SOP. Grepped for "15 participants" / "15 seats": zero hits.</w:t>
            </w:r>
          </w:p>
        </w:tc>
      </w:tr>
      <w:tr>
        <w:tc>
          <w:tcPr>
            <w:tcW w:type="dxa" w:w="504"/>
          </w:tcPr>
          <w:p>
            <w:r/>
            <w:r>
              <w:rPr>
                <w:sz w:val="18"/>
              </w:rPr>
              <w:t>24</w:t>
            </w:r>
          </w:p>
        </w:tc>
        <w:tc>
          <w:tcPr>
            <w:tcW w:type="dxa" w:w="6264"/>
          </w:tcPr>
          <w:p>
            <w:r/>
            <w:r>
              <w:rPr>
                <w:sz w:val="18"/>
              </w:rPr>
              <w:t>Phase 2A unchanged</w:t>
            </w:r>
          </w:p>
        </w:tc>
        <w:tc>
          <w:tcPr>
            <w:tcW w:type="dxa" w:w="2952"/>
          </w:tcPr>
          <w:p>
            <w:r>
              <w:rPr>
                <w:b/>
                <w:color w:val="1A7A1A"/>
                <w:sz w:val="18"/>
              </w:rPr>
              <w:t>PASS — confirmed via git status: zero working-tree changes under paid-workshop-assets/phase2a/.</w:t>
            </w:r>
          </w:p>
        </w:tc>
      </w:tr>
      <w:tr>
        <w:tc>
          <w:tcPr>
            <w:tcW w:type="dxa" w:w="504"/>
          </w:tcPr>
          <w:p>
            <w:r/>
            <w:r>
              <w:rPr>
                <w:sz w:val="18"/>
              </w:rPr>
              <w:t>25</w:t>
            </w:r>
          </w:p>
        </w:tc>
        <w:tc>
          <w:tcPr>
            <w:tcW w:type="dxa" w:w="6264"/>
          </w:tcPr>
          <w:p>
            <w:r/>
            <w:r>
              <w:rPr>
                <w:sz w:val="18"/>
              </w:rPr>
              <w:t>Phase 2B unchanged</w:t>
            </w:r>
          </w:p>
        </w:tc>
        <w:tc>
          <w:tcPr>
            <w:tcW w:type="dxa" w:w="2952"/>
          </w:tcPr>
          <w:p>
            <w:r>
              <w:rPr>
                <w:b/>
                <w:color w:val="1A7A1A"/>
                <w:sz w:val="18"/>
              </w:rPr>
              <w:t>PASS — confirmed via git status: zero working-tree changes under paid-workshop-assets/phase2b/.</w:t>
            </w:r>
          </w:p>
        </w:tc>
      </w:tr>
      <w:tr>
        <w:tc>
          <w:tcPr>
            <w:tcW w:type="dxa" w:w="504"/>
          </w:tcPr>
          <w:p>
            <w:r/>
            <w:r>
              <w:rPr>
                <w:sz w:val="18"/>
              </w:rPr>
              <w:t>26</w:t>
            </w:r>
          </w:p>
        </w:tc>
        <w:tc>
          <w:tcPr>
            <w:tcW w:type="dxa" w:w="6264"/>
          </w:tcPr>
          <w:p>
            <w:r/>
            <w:r>
              <w:rPr>
                <w:sz w:val="18"/>
              </w:rPr>
              <w:t>Frozen deck unchanged</w:t>
            </w:r>
          </w:p>
        </w:tc>
        <w:tc>
          <w:tcPr>
            <w:tcW w:type="dxa" w:w="2952"/>
          </w:tcPr>
          <w:p>
            <w:r>
              <w:rPr>
                <w:b/>
                <w:color w:val="1A7A1A"/>
                <w:sz w:val="18"/>
              </w:rPr>
              <w:t>PASS — confirmed via git status and md5 checksum (0f667a1d8945faab94f59f29d487c50b), identical to every prior phase's verification. Not opened in this pass.</w:t>
            </w:r>
          </w:p>
        </w:tc>
      </w:tr>
      <w:tr>
        <w:tc>
          <w:tcPr>
            <w:tcW w:type="dxa" w:w="504"/>
          </w:tcPr>
          <w:p>
            <w:r/>
            <w:r>
              <w:rPr>
                <w:sz w:val="18"/>
              </w:rPr>
              <w:t>27</w:t>
            </w:r>
          </w:p>
        </w:tc>
        <w:tc>
          <w:tcPr>
            <w:tcW w:type="dxa" w:w="6264"/>
          </w:tcPr>
          <w:p>
            <w:r/>
            <w:r>
              <w:rPr>
                <w:sz w:val="18"/>
              </w:rPr>
              <w:t>Published Field Kit unchanged</w:t>
            </w:r>
          </w:p>
        </w:tc>
        <w:tc>
          <w:tcPr>
            <w:tcW w:type="dxa" w:w="2952"/>
          </w:tcPr>
          <w:p>
            <w:r>
              <w:rPr>
                <w:b/>
                <w:color w:val="1A7A1A"/>
                <w:sz w:val="18"/>
              </w:rPr>
              <w:t>PASS — md5 f231ad6e101e36ae821600adec3d1fd6, identical to every prior phase's verification. Not opened in this pass.</w:t>
            </w:r>
          </w:p>
        </w:tc>
      </w:tr>
    </w:tbl>
    <w:p>
      <w:pPr>
        <w:spacing w:after="120"/>
      </w:pPr>
    </w:p>
    <w:p>
      <w:pPr>
        <w:spacing w:before="120" w:after="120"/>
      </w:pPr>
      <w:r>
        <w:rPr>
          <w:color w:val="555555"/>
          <w:sz w:val="16"/>
        </w:rPr>
        <w:t>――――――――――――――――――――――――――――――――――――――――――――――――――――――――――――――――――――――――――――――</w:t>
      </w:r>
    </w:p>
    <w:p>
      <w:pPr>
        <w:keepNext/>
        <w:spacing w:before="280" w:after="80"/>
      </w:pPr>
      <w:r>
        <w:rPr>
          <w:b/>
          <w:color w:val="0F2347"/>
          <w:sz w:val="25"/>
        </w:rPr>
        <w:t>What changed from v1.0 — summary</w:t>
      </w:r>
    </w:p>
    <w:p>
      <w:pPr>
        <w:spacing w:after="160"/>
      </w:pPr>
      <w:r>
        <w:rPr>
          <w:b w:val="0"/>
          <w:i w:val="0"/>
          <w:color w:val="000000"/>
          <w:sz w:val="20"/>
        </w:rPr>
        <w:t>Removed the impossible pre-filled Complete Session Record promise; participants' completed Part A and Part B are now correctly described as their own private session record, consistent with the approved privacy model where Temidayo never receives them. Corrected the 90-day evidence window so it includes the first 30 days rather than excluding them, while still excluding pre-September-10 evidence, and distinguished the Field Kit's self-guided rescore method from the live two-pass method. Restored prompts 1–6 completion to the 12–22 private-review segment. Made October 7 the definitive participant-sheet distribution point, with both docx and PDF links, resendable after October 8 for anyone who could not attend. Added the Field Kit redemption-deadline placeholder and a pre-launch verification requirement in the SOP. Added a Part A print backup alongside the fillable version, and generalized the PDF-trouble fallback to cover both Part A and Part B at the method level rather than Part A's print version alone. Changed participant-sheet prompt 10 to "if any." Scoped the FAQ's recording answer to the September 10 session specifically, not future cohorts. Added a Field Kit access/support line to the 90-day reminder.</w:t>
      </w:r>
    </w:p>
    <w:p>
      <w:pPr>
        <w:spacing w:before="120" w:after="120"/>
      </w:pPr>
      <w:r>
        <w:rPr>
          <w:color w:val="555555"/>
          <w:sz w:val="16"/>
        </w:rPr>
        <w:t>――――――――――――――――――――――――――――――――――――――――――――――――――――――――――――――――――――――――――――――</w:t>
      </w:r>
    </w:p>
    <w:p>
      <w:pPr>
        <w:keepNext/>
        <w:spacing w:before="280" w:after="80"/>
      </w:pPr>
      <w:r>
        <w:rPr>
          <w:b/>
          <w:color w:val="0F2347"/>
          <w:sz w:val="25"/>
        </w:rPr>
        <w:t>Scope note</w:t>
      </w:r>
    </w:p>
    <w:p>
      <w:pPr>
        <w:spacing w:after="160"/>
      </w:pPr>
      <w:r>
        <w:rPr>
          <w:b w:val="0"/>
          <w:i w:val="0"/>
          <w:color w:val="000000"/>
          <w:sz w:val="20"/>
        </w:rPr>
        <w:t>This QA Report verifies the 12 numbered Phase 2C outputs plus the Asset Manifest, checked against the Phase 2C spec's Definitive Offer, Protected Participant Experience, and Cross-Communication Language Lock sections. It does not re-verify Phase 2A or Phase 2B content — those packages are frozen and were confirmed unchanged, not re-audited.</w:t>
      </w:r>
    </w:p>
    <w:p>
      <w:pPr>
        <w:spacing w:before="120" w:after="120"/>
      </w:pPr>
      <w:r>
        <w:rPr>
          <w:color w:val="555555"/>
          <w:sz w:val="16"/>
        </w:rPr>
        <w:t>――――――――――――――――――――――――――――――――――――――――――――――――――――――――――――――――――――――――――――――</w:t>
      </w:r>
    </w:p>
    <w:p>
      <w:pPr>
        <w:keepNext/>
        <w:spacing w:before="280" w:after="80"/>
      </w:pPr>
      <w:r>
        <w:rPr>
          <w:b/>
          <w:color w:val="0F2347"/>
          <w:sz w:val="25"/>
        </w:rPr>
        <w:t>Overall result</w:t>
      </w:r>
    </w:p>
    <w:p>
      <w:pPr>
        <w:spacing w:after="160"/>
      </w:pPr>
      <w:r>
        <w:rPr>
          <w:b/>
          <w:i w:val="0"/>
          <w:color w:val="1A7A1A"/>
          <w:sz w:val="26"/>
        </w:rPr>
        <w:t>PASS — all 27 checklist items verified.</w:t>
      </w:r>
    </w:p>
    <w:p>
      <w:pPr>
        <w:spacing w:after="160"/>
      </w:pPr>
      <w:r>
        <w:rPr>
          <w:b w:val="0"/>
          <w:i w:val="0"/>
          <w:color w:val="000000"/>
          <w:sz w:val="21"/>
        </w:rPr>
        <w:t>This is the corrected Phase 2C package (v1.1), returned for review. Phase 2D has not been started.</w:t>
      </w:r>
    </w:p>
    <w:p>
      <w:pPr>
        <w:spacing w:before="120" w:after="120"/>
      </w:pPr>
      <w:r>
        <w:rPr>
          <w:color w:val="555555"/>
          <w:sz w:val="16"/>
        </w:rPr>
        <w:t>――――――――――――――――――――――――――――――――――――――――――――――――――――――――――――――――――――――――――――――</w:t>
      </w:r>
    </w:p>
    <w:p>
      <w:pPr>
        <w:spacing w:after="0"/>
      </w:pPr>
      <w:r>
        <w:rPr>
          <w:b w:val="0"/>
          <w:i/>
          <w:color w:val="555555"/>
          <w:sz w:val="16"/>
        </w:rPr>
        <w:t>PAID WORKSHOP — PHASE 2C QA REPORT v1.1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