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555"/>
          <w:sz w:val="19"/>
        </w:rPr>
        <w:t>SUBJECT: You're In: Your Capability Position Read</w:t>
      </w:r>
    </w:p>
    <w:p>
      <w:pPr>
        <w:spacing w:after="200"/>
      </w:pPr>
      <w:r>
        <w:rPr>
          <w:b w:val="0"/>
          <w:i/>
          <w:color w:val="555555"/>
          <w:sz w:val="19"/>
        </w:rPr>
        <w:t>PREVIEW: What to prepare before September 10.</w:t>
      </w:r>
    </w:p>
    <w:p>
      <w:pPr>
        <w:spacing w:before="120" w:after="120"/>
      </w:pPr>
      <w:r>
        <w:rPr>
          <w:color w:val="555555"/>
          <w:sz w:val="16"/>
        </w:rPr>
        <w:t>――――――――――――――――――――――――――――――――――――――――――――――――――――――――――――――――――――――――――――――</w:t>
      </w:r>
    </w:p>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Decide Whether to Stay or Leave Your Job</w:t>
            </w:r>
          </w:p>
          <w:p>
            <w:pPr>
              <w:spacing w:after="120"/>
            </w:pPr>
            <w:r>
              <w:rPr>
                <w:i/>
                <w:color w:val="E3D9C4"/>
                <w:sz w:val="22"/>
              </w:rPr>
              <w:t>A Live Career Growth Assessment</w:t>
            </w:r>
          </w:p>
        </w:tc>
      </w:tr>
    </w:tbl>
    <w:p>
      <w:pPr>
        <w:spacing w:after="80"/>
      </w:pPr>
    </w:p>
    <w:p>
      <w:pPr>
        <w:spacing w:after="200"/>
      </w:pPr>
      <w:r>
        <w:rPr>
          <w:b w:val="0"/>
          <w:i w:val="0"/>
          <w:color w:val="000000"/>
          <w:sz w:val="21"/>
        </w:rPr>
        <w:t>Thank you for enrolling in The Capability Position Read.</w:t>
      </w:r>
    </w:p>
    <w:p>
      <w:pPr>
        <w:spacing w:after="240"/>
      </w:pPr>
      <w:r>
        <w:rPr>
          <w:b w:val="0"/>
          <w:i w:val="0"/>
          <w:color w:val="000000"/>
          <w:sz w:val="21"/>
        </w:rPr>
        <w:t>You're joining a small, live working session — limited to 12 participants — built around one question: is the position you're in still worth building on. Here is what to know before Thursday, September 10, 2026.</w:t>
      </w:r>
    </w:p>
    <w:tbl>
      <w:tblPr>
        <w:tblW w:type="auto" w:w="0"/>
        <w:tblLayout w:type="fixed"/>
        <w:tblLook w:firstColumn="1" w:firstRow="1" w:lastColumn="0" w:lastRow="0" w:noHBand="0" w:noVBand="1" w:val="04A0"/>
      </w:tblPr>
      <w:tblGrid>
        <w:gridCol w:w="5040"/>
        <w:gridCol w:w="5040"/>
      </w:tblGrid>
      <w:tr>
        <w:tc>
          <w:tcPr>
            <w:tcW w:type="dxa" w:w="2880"/>
          </w:tcPr>
          <w:p>
            <w:r/>
            <w:r>
              <w:rPr>
                <w:b/>
                <w:sz w:val="19"/>
              </w:rPr>
              <w:t>Main workshop</w:t>
            </w:r>
          </w:p>
        </w:tc>
        <w:tc>
          <w:tcPr>
            <w:tcW w:type="dxa" w:w="6480"/>
          </w:tcPr>
          <w:p>
            <w:r/>
            <w:r>
              <w:rPr>
                <w:sz w:val="19"/>
              </w:rPr>
              <w:t>Thursday, September 10, 2026</w:t>
              <w:br/>
              <w:t>6:00–8:00 PM Central Time (CT)</w:t>
            </w:r>
          </w:p>
        </w:tc>
      </w:tr>
      <w:tr>
        <w:tc>
          <w:tcPr>
            <w:tcW w:type="dxa" w:w="2880"/>
          </w:tcPr>
          <w:p>
            <w:r/>
            <w:r>
              <w:rPr>
                <w:b/>
                <w:sz w:val="19"/>
              </w:rPr>
              <w:t>Live 30-Day Evidence Review</w:t>
            </w:r>
          </w:p>
        </w:tc>
        <w:tc>
          <w:tcPr>
            <w:tcW w:type="dxa" w:w="6480"/>
          </w:tcPr>
          <w:p>
            <w:r/>
            <w:r>
              <w:rPr>
                <w:sz w:val="19"/>
              </w:rPr>
              <w:t>Thursday, October 8, 2026</w:t>
              <w:br/>
              <w:t>6:00–6:45 PM Central Time</w:t>
            </w:r>
          </w:p>
        </w:tc>
      </w:tr>
    </w:tbl>
    <w:p>
      <w:pPr>
        <w:spacing w:after="80"/>
      </w:pPr>
    </w:p>
    <w:p>
      <w:pPr>
        <w:keepNext/>
        <w:spacing w:before="280" w:after="80"/>
      </w:pPr>
      <w:r>
        <w:rPr>
          <w:b/>
          <w:color w:val="0F2347"/>
          <w:sz w:val="25"/>
        </w:rPr>
        <w:t>What to expect</w:t>
      </w:r>
    </w:p>
    <w:p>
      <w:pPr>
        <w:spacing w:after="200"/>
      </w:pPr>
      <w:r>
        <w:rPr>
          <w:b w:val="0"/>
          <w:i w:val="0"/>
          <w:color w:val="000000"/>
          <w:sz w:val="21"/>
        </w:rPr>
        <w:t>The session runs two hours. The first 105 minutes are guided assessment work — you will be scoring, writing, and placing your own position in real time. The final 15 minutes are Q&amp;A and applications. This is active working time, not a webinar — plan to be at a desk, not half-listening in the background.</w:t>
      </w:r>
    </w:p>
    <w:p>
      <w:pPr>
        <w:keepNext/>
        <w:spacing w:before="280" w:after="80"/>
      </w:pPr>
      <w:r>
        <w:rPr>
          <w:b/>
          <w:color w:val="0F2347"/>
          <w:sz w:val="25"/>
        </w:rPr>
        <w:t>Device</w:t>
      </w:r>
    </w:p>
    <w:p>
      <w:pPr>
        <w:spacing w:after="200"/>
      </w:pPr>
      <w:r>
        <w:rPr>
          <w:b w:val="0"/>
          <w:i w:val="0"/>
          <w:color w:val="000000"/>
          <w:sz w:val="21"/>
        </w:rPr>
        <w:t>Please join from a laptop or desktop rather than a phone. You will be scoring, totaling, and writing throughout the session, and a small screen makes that meaningfully harder.</w:t>
      </w:r>
    </w:p>
    <w:p>
      <w:pPr>
        <w:keepNext/>
        <w:spacing w:before="280" w:after="80"/>
      </w:pPr>
      <w:r>
        <w:rPr>
          <w:b/>
          <w:color w:val="0F2347"/>
          <w:sz w:val="25"/>
        </w:rPr>
        <w:t>PDF reader</w:t>
      </w:r>
    </w:p>
    <w:p>
      <w:pPr>
        <w:spacing w:after="200"/>
      </w:pPr>
      <w:r>
        <w:rPr>
          <w:b w:val="0"/>
          <w:i w:val="0"/>
          <w:color w:val="000000"/>
          <w:sz w:val="21"/>
        </w:rPr>
        <w:t>Adobe Acrobat Reader is recommended for opening and completing your workbook. If you don't already have it, it's a free download.</w:t>
      </w:r>
    </w:p>
    <w:p>
      <w:pPr>
        <w:keepNext/>
        <w:spacing w:before="280" w:after="80"/>
      </w:pPr>
      <w:r>
        <w:rPr>
          <w:b/>
          <w:color w:val="0F2347"/>
          <w:sz w:val="25"/>
        </w:rPr>
        <w:t>Part A — before the session</w:t>
      </w:r>
    </w:p>
    <w:p>
      <w:pPr>
        <w:spacing w:after="160"/>
      </w:pPr>
      <w:r>
        <w:rPr>
          <w:b/>
          <w:color w:val="996600"/>
          <w:sz w:val="21"/>
        </w:rPr>
        <w:t xml:space="preserve">Fillable:  </w:t>
      </w:r>
      <w:r>
        <w:rPr>
          <w:color w:val="000000"/>
          <w:sz w:val="21"/>
        </w:rPr>
        <w:t>[PART A LINK]</w:t>
      </w:r>
    </w:p>
    <w:p>
      <w:pPr>
        <w:spacing w:after="160"/>
      </w:pPr>
      <w:r>
        <w:rPr>
          <w:b/>
          <w:color w:val="996600"/>
          <w:sz w:val="21"/>
        </w:rPr>
        <w:t xml:space="preserve">Print backup:  </w:t>
      </w:r>
      <w:r>
        <w:rPr>
          <w:color w:val="000000"/>
          <w:sz w:val="21"/>
        </w:rPr>
        <w:t>[PART A PRINT LINK]</w:t>
      </w:r>
    </w:p>
    <w:p>
      <w:pPr>
        <w:spacing w:after="120"/>
      </w:pPr>
      <w:r>
        <w:rPr>
          <w:b/>
          <w:i w:val="0"/>
          <w:color w:val="000000"/>
          <w:sz w:val="21"/>
        </w:rPr>
        <w:t>Download/open whichever version you plan to use, but do not complete the assessment in advance.</w:t>
      </w:r>
    </w:p>
    <w:p>
      <w:pPr>
        <w:spacing w:after="200"/>
      </w:pPr>
      <w:r>
        <w:rPr>
          <w:b w:val="0"/>
          <w:i w:val="0"/>
          <w:color w:val="000000"/>
          <w:sz w:val="21"/>
        </w:rPr>
        <w:t>The first reading needs to capture how you understand your position before the live evidence protocol is introduced. Scoring it early would change what the reading actually measures.</w:t>
      </w:r>
    </w:p>
    <w:p>
      <w:pPr>
        <w:keepNext/>
        <w:spacing w:before="280" w:after="80"/>
      </w:pPr>
      <w:r>
        <w:rPr>
          <w:b/>
          <w:color w:val="0F2347"/>
          <w:sz w:val="25"/>
        </w:rPr>
        <w:t>Part B</w:t>
      </w:r>
    </w:p>
    <w:p>
      <w:pPr>
        <w:spacing w:after="200"/>
      </w:pPr>
      <w:r>
        <w:rPr>
          <w:b w:val="0"/>
          <w:i w:val="0"/>
          <w:color w:val="000000"/>
          <w:sz w:val="21"/>
        </w:rPr>
        <w:t>Part B will be released live during the session, once the room has completed the first read. There is nothing to download for it in advance.</w:t>
      </w:r>
    </w:p>
    <w:p>
      <w:pPr>
        <w:keepNext/>
        <w:spacing w:before="280" w:after="80"/>
      </w:pPr>
      <w:r>
        <w:rPr>
          <w:b/>
          <w:color w:val="0F2347"/>
          <w:sz w:val="25"/>
        </w:rPr>
        <w:t>Privacy</w:t>
      </w:r>
    </w:p>
    <w:p>
      <w:pPr>
        <w:pStyle w:val="ListBullet"/>
        <w:spacing w:after="60"/>
      </w:pPr>
      <w:r>
        <w:rPr>
          <w:color w:val="000000"/>
          <w:sz w:val="21"/>
        </w:rPr>
        <w:t>Your scores remain private.</w:t>
      </w:r>
    </w:p>
    <w:p>
      <w:pPr>
        <w:pStyle w:val="ListBullet"/>
        <w:spacing w:after="60"/>
      </w:pPr>
      <w:r>
        <w:rPr>
          <w:color w:val="000000"/>
          <w:sz w:val="21"/>
        </w:rPr>
        <w:t>Your workbook writing remains private.</w:t>
      </w:r>
    </w:p>
    <w:p>
      <w:pPr>
        <w:pStyle w:val="ListBullet"/>
        <w:spacing w:after="60"/>
      </w:pPr>
      <w:r>
        <w:rPr>
          <w:color w:val="000000"/>
          <w:sz w:val="21"/>
        </w:rPr>
        <w:t>Employer information is not required at any point.</w:t>
      </w:r>
    </w:p>
    <w:p>
      <w:pPr>
        <w:pStyle w:val="ListBullet"/>
        <w:spacing w:after="60"/>
      </w:pPr>
      <w:r>
        <w:rPr>
          <w:color w:val="000000"/>
          <w:sz w:val="21"/>
        </w:rPr>
        <w:t>You are not required to share your Career State or intended move with the group.</w:t>
      </w:r>
    </w:p>
    <w:p>
      <w:pPr>
        <w:pStyle w:val="ListBullet"/>
        <w:spacing w:after="60"/>
      </w:pPr>
      <w:r>
        <w:rPr>
          <w:color w:val="000000"/>
          <w:sz w:val="21"/>
        </w:rPr>
        <w:t>The September 10 session will not be recorded.</w:t>
      </w:r>
    </w:p>
    <w:p>
      <w:pPr>
        <w:spacing w:after="80"/>
      </w:pPr>
    </w:p>
    <w:p>
      <w:pPr>
        <w:keepNext/>
        <w:spacing w:before="280" w:after="80"/>
      </w:pPr>
      <w:r>
        <w:rPr>
          <w:b/>
          <w:color w:val="0F2347"/>
          <w:sz w:val="25"/>
        </w:rPr>
        <w:t>Arrival</w:t>
      </w:r>
    </w:p>
    <w:p>
      <w:pPr>
        <w:spacing w:after="120"/>
      </w:pPr>
      <w:r>
        <w:rPr>
          <w:b w:val="0"/>
          <w:i w:val="0"/>
          <w:color w:val="000000"/>
          <w:sz w:val="21"/>
        </w:rPr>
        <w:t>Please join five minutes early.</w:t>
      </w:r>
    </w:p>
    <w:p>
      <w:pPr>
        <w:spacing w:after="200"/>
      </w:pPr>
      <w:r>
        <w:rPr>
          <w:b w:val="0"/>
          <w:i w:val="0"/>
          <w:color w:val="555555"/>
          <w:sz w:val="20"/>
        </w:rPr>
        <w:t>The assessment method begins eight minutes after the scheduled start. New participants cannot enter after that point because they would have missed the conditions required for the first reading. If you are already in the session and briefly lose connection, you may rejoin at the next natural pause.</w:t>
      </w:r>
    </w:p>
    <w:p>
      <w:pPr>
        <w:keepNext/>
        <w:spacing w:before="280" w:after="80"/>
      </w:pPr>
      <w:r>
        <w:rPr>
          <w:b/>
          <w:color w:val="0F2347"/>
          <w:sz w:val="25"/>
        </w:rPr>
        <w:t>Preparation</w:t>
      </w:r>
    </w:p>
    <w:p>
      <w:pPr>
        <w:spacing w:after="200"/>
      </w:pPr>
      <w:r>
        <w:rPr>
          <w:b w:val="0"/>
          <w:i w:val="0"/>
          <w:color w:val="000000"/>
          <w:sz w:val="21"/>
        </w:rPr>
        <w:t>You do not need to prepare an evidence file or gather documentation in advance. If you happen to have recent work examples in mind, that can be useful later in the process — but there is nothing to upload or submit before the session.</w:t>
      </w:r>
    </w:p>
    <w:p>
      <w:pPr>
        <w:keepNext/>
        <w:spacing w:before="280" w:after="80"/>
      </w:pPr>
      <w:r>
        <w:rPr>
          <w:b/>
          <w:color w:val="0F2347"/>
          <w:sz w:val="25"/>
        </w:rPr>
        <w:t>The Capability Formation Field Kit</w:t>
      </w:r>
    </w:p>
    <w:p>
      <w:pPr>
        <w:spacing w:after="200"/>
      </w:pPr>
      <w:r>
        <w:rPr>
          <w:b w:val="0"/>
          <w:i w:val="0"/>
          <w:color w:val="000000"/>
          <w:sz w:val="21"/>
        </w:rPr>
        <w:t>The Field Kit is included with your enrollment and will be delivered after the live workshop.</w:t>
      </w:r>
    </w:p>
    <w:p>
      <w:pPr>
        <w:keepNext/>
        <w:spacing w:before="280" w:after="80"/>
      </w:pPr>
      <w:r>
        <w:rPr>
          <w:b/>
          <w:color w:val="0F2347"/>
          <w:sz w:val="25"/>
        </w:rPr>
        <w:t>The 30-Day Evidence Review</w:t>
      </w:r>
    </w:p>
    <w:p>
      <w:pPr>
        <w:spacing w:after="200"/>
      </w:pPr>
      <w:r>
        <w:rPr>
          <w:b w:val="0"/>
          <w:i w:val="0"/>
          <w:color w:val="000000"/>
          <w:sz w:val="21"/>
        </w:rPr>
        <w:t>The live Evidence Review is included as part of this workshop. Attendance isn't mandatory, but it is a built-in part of the process, not an optional add-on — plan to be there if you can.</w:t>
      </w:r>
    </w:p>
    <w:p>
      <w:pPr>
        <w:spacing w:before="120" w:after="120"/>
      </w:pPr>
      <w:r>
        <w:rPr>
          <w:color w:val="555555"/>
          <w:sz w:val="16"/>
        </w:rPr>
        <w:t>――――――――――――――――――――――――――――――――――――――――――――――――――――――――――――――――――――――――――――――</w:t>
      </w:r>
    </w:p>
    <w:p>
      <w:pPr>
        <w:spacing w:after="80"/>
      </w:pPr>
      <w:r>
        <w:rPr>
          <w:b w:val="0"/>
          <w:i w:val="0"/>
          <w:color w:val="000000"/>
          <w:sz w:val="20"/>
        </w:rPr>
        <w:t>Questions before the 10th? Reach us at [SUPPORT EMAIL].</w:t>
      </w:r>
    </w:p>
    <w:p>
      <w:pPr>
        <w:spacing w:after="0"/>
      </w:pPr>
      <w:r>
        <w:rPr>
          <w:b w:val="0"/>
          <w:i/>
          <w:color w:val="000000"/>
          <w:sz w:val="20"/>
        </w:rPr>
        <w:t>— Temidayo Afonja</w:t>
      </w:r>
    </w:p>
    <w:p>
      <w:pPr>
        <w:spacing w:before="120" w:after="120"/>
      </w:pPr>
      <w:r>
        <w:rPr>
          <w:color w:val="555555"/>
          <w:sz w:val="16"/>
        </w:rPr>
        <w:t>――――――――――――――――――――――――――――――――――――――――――――――――――――――――――――――――――――――――――――――</w:t>
      </w:r>
    </w:p>
    <w:p>
      <w:pPr>
        <w:spacing w:after="0"/>
      </w:pPr>
      <w:r>
        <w:rPr>
          <w:b w:val="0"/>
          <w:i/>
          <w:color w:val="555555"/>
          <w:sz w:val="16"/>
        </w:rPr>
        <w:t>PAID WORKSHOP — WELCOME EMAIL v1.1  ·  Decide Whether to Stay or Leave Your Job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