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CAPABILITY FORMATION | VIDEO 18</w:t>
      </w:r>
    </w:p>
    <w:p>
      <w:pPr>
        <w:jc w:val="center"/>
      </w:pPr>
      <w:r>
        <w:rPr>
          <w:b/>
          <w:sz w:val="40"/>
        </w:rPr>
        <w:t>Should You Stay an Individual Contributor or Become a Manager?</w:t>
      </w:r>
    </w:p>
    <w:p>
      <w:pPr>
        <w:jc w:val="center"/>
      </w:pPr>
      <w:r>
        <w:rPr>
          <w:b/>
          <w:sz w:val="18"/>
        </w:rPr>
        <w:t>FINAL REBUILT RECORDING MASTER</w:t>
      </w:r>
    </w:p>
    <w:tbl>
      <w:tblPr>
        <w:tblStyle w:val="TableGrid"/>
        <w:tblW w:type="auto" w:w="0"/>
        <w:tblLook w:firstColumn="1" w:firstRow="1" w:lastColumn="0" w:lastRow="0" w:noHBand="0" w:noVBand="1" w:val="04A0"/>
      </w:tblPr>
      <w:tblGrid>
        <w:gridCol w:w="5040"/>
        <w:gridCol w:w="5040"/>
      </w:tblGrid>
      <w:tr>
        <w:tc>
          <w:tcPr>
            <w:tcW w:type="dxa" w:w="5040"/>
            <w:shd w:fill="E9E2D0"/>
          </w:tcPr>
          <w:p>
            <w:r>
              <w:t>Created / revised</w:t>
            </w:r>
          </w:p>
        </w:tc>
        <w:tc>
          <w:tcPr>
            <w:tcW w:type="dxa" w:w="5040"/>
          </w:tcPr>
          <w:p>
            <w:r>
              <w:t>Thursday, September 10, 2026 | CT</w:t>
            </w:r>
          </w:p>
        </w:tc>
      </w:tr>
      <w:tr>
        <w:tc>
          <w:tcPr>
            <w:tcW w:type="dxa" w:w="5040"/>
            <w:shd w:fill="E9E2D0"/>
          </w:tcPr>
          <w:p>
            <w:r>
              <w:t>Recommended title</w:t>
            </w:r>
          </w:p>
        </w:tc>
        <w:tc>
          <w:tcPr>
            <w:tcW w:type="dxa" w:w="5040"/>
          </w:tcPr>
          <w:p>
            <w:r>
              <w:t>Should You Stay an Individual Contributor or Become a Manager?</w:t>
            </w:r>
          </w:p>
        </w:tc>
      </w:tr>
      <w:tr>
        <w:tc>
          <w:tcPr>
            <w:tcW w:type="dxa" w:w="5040"/>
            <w:shd w:fill="E9E2D0"/>
          </w:tcPr>
          <w:p>
            <w:r>
              <w:t>Thumbnail</w:t>
            </w:r>
          </w:p>
        </w:tc>
        <w:tc>
          <w:tcPr>
            <w:tcW w:type="dxa" w:w="5040"/>
          </w:tcPr>
          <w:p>
            <w:r>
              <w:t>TWO DIFFERENT JOBS</w:t>
            </w:r>
          </w:p>
        </w:tc>
      </w:tr>
      <w:tr>
        <w:tc>
          <w:tcPr>
            <w:tcW w:type="dxa" w:w="5040"/>
            <w:shd w:fill="E9E2D0"/>
          </w:tcPr>
          <w:p>
            <w:r>
              <w:t>Framework</w:t>
            </w:r>
          </w:p>
        </w:tc>
        <w:tc>
          <w:tcPr>
            <w:tcW w:type="dxa" w:w="5040"/>
          </w:tcPr>
          <w:p>
            <w:r>
              <w:t>Work. Path. Authority. Reversibility.</w:t>
            </w:r>
          </w:p>
        </w:tc>
      </w:tr>
      <w:tr>
        <w:tc>
          <w:tcPr>
            <w:tcW w:type="dxa" w:w="5040"/>
            <w:shd w:fill="E9E2D0"/>
          </w:tcPr>
          <w:p>
            <w:r>
              <w:t>Primary CTA</w:t>
            </w:r>
          </w:p>
        </w:tc>
        <w:tc>
          <w:tcPr>
            <w:tcW w:type="dxa" w:w="5040"/>
          </w:tcPr>
          <w:p>
            <w:r>
              <w:t>Ask the four questions before deciding.</w:t>
            </w:r>
          </w:p>
        </w:tc>
      </w:tr>
      <w:tr>
        <w:tc>
          <w:tcPr>
            <w:tcW w:type="dxa" w:w="5040"/>
            <w:shd w:fill="E9E2D0"/>
          </w:tcPr>
          <w:p>
            <w:r>
              <w:t>Resource</w:t>
            </w:r>
          </w:p>
        </w:tc>
        <w:tc>
          <w:tcPr>
            <w:tcW w:type="dxa" w:w="5040"/>
          </w:tcPr>
          <w:p>
            <w:r>
              <w:t>Career Decision Evidence Check</w:t>
            </w:r>
          </w:p>
        </w:tc>
      </w:tr>
      <w:tr>
        <w:tc>
          <w:tcPr>
            <w:tcW w:type="dxa" w:w="5040"/>
            <w:shd w:fill="E9E2D0"/>
          </w:tcPr>
          <w:p>
            <w:r>
              <w:t>Watch Next</w:t>
            </w:r>
          </w:p>
        </w:tc>
        <w:tc>
          <w:tcPr>
            <w:tcW w:type="dxa" w:w="5040"/>
          </w:tcPr>
          <w:p>
            <w:r>
              <w:t>V16: What to Do When Your Work Is Valued but You Are Overlooked</w:t>
            </w:r>
          </w:p>
        </w:tc>
      </w:tr>
    </w:tbl>
    <w:p/>
    <w:p>
      <w:r>
        <w:rPr>
          <w:b/>
          <w:sz w:val="26"/>
        </w:rPr>
        <w:t>RECORDING SCRIPT STARTS HERE</w:t>
      </w:r>
    </w:p>
    <w:p>
      <w:r>
        <w:rPr>
          <w:b/>
          <w:sz w:val="24"/>
        </w:rPr>
        <w:t>HOOK | Congratulated before the job is described</w:t>
      </w:r>
    </w:p>
    <w:p>
      <w:pPr>
        <w:spacing w:after="120" w:line="259" w:lineRule="auto"/>
      </w:pPr>
      <w:r>
        <w:t>Someone offers you a management role.</w:t>
      </w:r>
    </w:p>
    <w:p>
      <w:pPr>
        <w:spacing w:after="120" w:line="259" w:lineRule="auto"/>
      </w:pPr>
      <w:r>
        <w:t>And before they explain what the job actually is, they congratulate you.</w:t>
      </w:r>
    </w:p>
    <w:p>
      <w:pPr>
        <w:spacing w:after="120" w:line="259" w:lineRule="auto"/>
      </w:pPr>
      <w:r>
        <w:t>That tells you something.</w:t>
      </w:r>
    </w:p>
    <w:p>
      <w:pPr>
        <w:spacing w:after="120" w:line="259" w:lineRule="auto"/>
      </w:pPr>
      <w:r>
        <w:t>Management is often offered as a reward. But it is not a reward. It is a different job.</w:t>
      </w:r>
    </w:p>
    <w:p>
      <w:r>
        <w:rPr>
          <w:b/>
          <w:sz w:val="24"/>
        </w:rPr>
        <w:t>THE REFRAME | Two jobs, not two levels</w:t>
      </w:r>
    </w:p>
    <w:p>
      <w:pPr>
        <w:spacing w:after="120" w:line="259" w:lineRule="auto"/>
      </w:pPr>
      <w:r>
        <w:t>I cannot tell you whether you should take it. I do not know your life or your organization.</w:t>
      </w:r>
    </w:p>
    <w:p>
      <w:pPr>
        <w:spacing w:after="120" w:line="259" w:lineRule="auto"/>
      </w:pPr>
      <w:r>
        <w:t>But I can help you ask what you are actually being offered.</w:t>
      </w:r>
    </w:p>
    <w:p>
      <w:pPr>
        <w:spacing w:after="120" w:line="259" w:lineRule="auto"/>
      </w:pPr>
      <w:r>
        <w:t>Management and senior individual work are not a higher and lower version of one career. They are different jobs, with different days, different skills, and different hard parts.</w:t>
      </w:r>
    </w:p>
    <w:p>
      <w:r>
        <w:rPr>
          <w:b/>
          <w:sz w:val="24"/>
        </w:rPr>
        <w:t>FIVE THINGS THAT DO NOT MOVE TOGETHER</w:t>
      </w:r>
    </w:p>
    <w:p>
      <w:pPr>
        <w:spacing w:after="120" w:line="259" w:lineRule="auto"/>
      </w:pPr>
      <w:r>
        <w:t>Five things often get bundled together: scope, responsibility, compensation, authority, and people management.</w:t>
      </w:r>
    </w:p>
    <w:p>
      <w:pPr>
        <w:spacing w:after="120" w:line="259" w:lineRule="auto"/>
      </w:pPr>
      <w:r>
        <w:t>They do not reliably move together.</w:t>
      </w:r>
    </w:p>
    <w:p>
      <w:pPr>
        <w:spacing w:after="120" w:line="259" w:lineRule="auto"/>
      </w:pPr>
      <w:r>
        <w:t>A role can increase your responsibility without increasing your authority. It can increase your scope without changing compensation. It can add people management while taking you away from the work you most enjoy.</w:t>
      </w:r>
    </w:p>
    <w:p>
      <w:pPr>
        <w:spacing w:after="120" w:line="259" w:lineRule="auto"/>
      </w:pPr>
      <w:r>
        <w:t>Before you decide, separate the bundle.</w:t>
      </w:r>
    </w:p>
    <w:p>
      <w:r>
        <w:rPr>
          <w:b/>
          <w:sz w:val="24"/>
        </w:rPr>
        <w:t>QUESTION 1 | What does the job consume?</w:t>
      </w:r>
    </w:p>
    <w:p>
      <w:pPr>
        <w:spacing w:after="120" w:line="259" w:lineRule="auto"/>
      </w:pPr>
      <w:r>
        <w:t>Ask two managers at the level you are considering what their last ordinary week actually contained.</w:t>
      </w:r>
    </w:p>
    <w:p>
      <w:pPr>
        <w:spacing w:after="120" w:line="259" w:lineRule="auto"/>
      </w:pPr>
      <w:r>
        <w:t>Not what the role is supposed to be. What filled the calendar.</w:t>
      </w:r>
    </w:p>
    <w:p>
      <w:pPr>
        <w:spacing w:after="120" w:line="259" w:lineRule="auto"/>
      </w:pPr>
      <w:r>
        <w:t>One-to-ones, hiring, performance conversations, planning, reporting upward, absorbing pressure, deciding on work you will not personally do.</w:t>
      </w:r>
    </w:p>
    <w:p>
      <w:pPr>
        <w:spacing w:after="120" w:line="259" w:lineRule="auto"/>
      </w:pPr>
      <w:r>
        <w:t>The real shift is often from making the work good yourself to making it possible for other people to make it good, and then living with their version of good.</w:t>
      </w:r>
    </w:p>
    <w:p>
      <w:pPr>
        <w:spacing w:after="120" w:line="259" w:lineRule="auto"/>
      </w:pPr>
      <w:r>
        <w:t>Some people love that. Others miss the work itself. Neither reaction is a character judgment.</w:t>
      </w:r>
    </w:p>
    <w:p>
      <w:r>
        <w:rPr>
          <w:b/>
          <w:sz w:val="24"/>
        </w:rPr>
        <w:t>QUESTION 2 | Does the other path really exist here?</w:t>
      </w:r>
    </w:p>
    <w:p>
      <w:pPr>
        <w:spacing w:after="120" w:line="259" w:lineRule="auto"/>
      </w:pPr>
      <w:r>
        <w:t>If you want to remain an individual contributor, ask what senior individual work looks like in this organization and whether it exists in practice.</w:t>
      </w:r>
    </w:p>
    <w:p>
      <w:pPr>
        <w:spacing w:after="120" w:line="259" w:lineRule="auto"/>
      </w:pPr>
      <w:r>
        <w:t>Ask for names. Ask what those people are trusted to decide. Ask how their scope and compensation compare with management at the same level.</w:t>
      </w:r>
    </w:p>
    <w:p>
      <w:pPr>
        <w:spacing w:after="120" w:line="259" w:lineRule="auto"/>
      </w:pPr>
      <w:r>
        <w:t>Some organizations genuinely cap individual contributors. If the only route upward runs through people management, that is not encouragement or discouragement. It is information you need before you choose.</w:t>
      </w:r>
    </w:p>
    <w:p>
      <w:r>
        <w:rPr>
          <w:b/>
          <w:sz w:val="24"/>
        </w:rPr>
        <w:t>TEST BEFORE YOU COMMIT</w:t>
      </w:r>
    </w:p>
    <w:p>
      <w:pPr>
        <w:spacing w:after="120" w:line="259" w:lineRule="auto"/>
      </w:pPr>
      <w:r>
        <w:t>Where possible, sample part of the work before making a permanent decision.</w:t>
      </w:r>
    </w:p>
    <w:p>
      <w:pPr>
        <w:spacing w:after="120" w:line="259" w:lineRule="auto"/>
      </w:pPr>
      <w:r>
        <w:t>Cover for a manager. Lead a temporary team. Participate meaningfully in hiring or performance conversations under appropriate supervision.</w:t>
      </w:r>
    </w:p>
    <w:p>
      <w:pPr>
        <w:spacing w:after="120" w:line="259" w:lineRule="auto"/>
      </w:pPr>
      <w:r>
        <w:t>None of that is the whole job. It gives you evidence about whether the hard parts fit you, rather than asking you to decide from a title.</w:t>
      </w:r>
    </w:p>
    <w:p>
      <w:r>
        <w:rPr>
          <w:b/>
          <w:sz w:val="24"/>
        </w:rPr>
        <w:t>QUESTION 3 | What authority comes with it?</w:t>
      </w:r>
    </w:p>
    <w:p>
      <w:pPr>
        <w:spacing w:after="120" w:line="259" w:lineRule="auto"/>
      </w:pPr>
      <w:r>
        <w:t>Ask what you can decide without asking. Budget. Hiring. Prioritization. Saying no. Changing scope.</w:t>
      </w:r>
    </w:p>
    <w:p>
      <w:pPr>
        <w:spacing w:after="120" w:line="259" w:lineRule="auto"/>
      </w:pPr>
      <w:r>
        <w:t>Then ask what you will be answerable for.</w:t>
      </w:r>
    </w:p>
    <w:p>
      <w:pPr>
        <w:spacing w:after="120" w:line="259" w:lineRule="auto"/>
      </w:pPr>
      <w:r>
        <w:t>If the responsibility list is much longer than the authority list, name that before you accept. Responsibility without enough authority is not a small detail of the job.</w:t>
      </w:r>
    </w:p>
    <w:p>
      <w:r>
        <w:rPr>
          <w:b/>
          <w:sz w:val="24"/>
        </w:rPr>
        <w:t>QUESTION 4 | Can you come back?</w:t>
      </w:r>
    </w:p>
    <w:p>
      <w:pPr>
        <w:spacing w:after="120" w:line="259" w:lineRule="auto"/>
      </w:pPr>
      <w:r>
        <w:t>Finally, ask whether the move is reversible here.</w:t>
      </w:r>
    </w:p>
    <w:p>
      <w:pPr>
        <w:spacing w:after="120" w:line="259" w:lineRule="auto"/>
      </w:pPr>
      <w:r>
        <w:t>Do people move into management and later back into senior individual work without penalty? Look for real examples.</w:t>
      </w:r>
    </w:p>
    <w:p>
      <w:pPr>
        <w:spacing w:after="120" w:line="259" w:lineRule="auto"/>
      </w:pPr>
      <w:r>
        <w:t>A reversible decision deserves less fear than one that is culturally one-way.</w:t>
      </w:r>
    </w:p>
    <w:p>
      <w:r>
        <w:rPr>
          <w:b/>
          <w:sz w:val="24"/>
        </w:rPr>
        <w:t>BOUNDARY | Neither answer is the brave one</w:t>
      </w:r>
    </w:p>
    <w:p>
      <w:pPr>
        <w:spacing w:after="120" w:line="259" w:lineRule="auto"/>
      </w:pPr>
      <w:r>
        <w:t>Staying an individual contributor is not automatically the more authentic choice. Becoming a manager is not automatically the more ambitious one.</w:t>
      </w:r>
    </w:p>
    <w:p>
      <w:pPr>
        <w:spacing w:after="120" w:line="259" w:lineRule="auto"/>
      </w:pPr>
      <w:r>
        <w:t>Managing people well is difficult, valuable work. Deep senior individual work is difficult, valuable work.</w:t>
      </w:r>
    </w:p>
    <w:p>
      <w:pPr>
        <w:spacing w:after="120" w:line="259" w:lineRule="auto"/>
      </w:pPr>
      <w:r>
        <w:t>Pick the path whose hard parts you would rather have, inside the organization you actually work in.</w:t>
      </w:r>
    </w:p>
    <w:p>
      <w:r>
        <w:rPr>
          <w:b/>
          <w:sz w:val="24"/>
        </w:rPr>
        <w:t>CLOSE</w:t>
      </w:r>
    </w:p>
    <w:p>
      <w:pPr>
        <w:spacing w:after="120" w:line="259" w:lineRule="auto"/>
      </w:pPr>
      <w:r>
        <w:t>The Career Decision Evidence Check is linked below if you want a structured way to think through the choice.</w:t>
      </w:r>
    </w:p>
    <w:p>
      <w:pPr>
        <w:spacing w:after="120" w:line="259" w:lineRule="auto"/>
      </w:pPr>
      <w:r>
        <w:t>But before you answer the offer, ask four questions: what does the job consume, does the other path really exist, what authority comes with it, and can you come back?</w:t>
      </w:r>
    </w:p>
    <w:p>
      <w:pPr>
        <w:spacing w:after="120" w:line="259" w:lineRule="auto"/>
      </w:pPr>
      <w:r>
        <w:t>Do not choose the title. Choose the work.</w:t>
      </w:r>
    </w:p>
    <w:p>
      <w:r>
        <w:rPr>
          <w:b/>
          <w:sz w:val="24"/>
        </w:rPr>
        <w:t>EDITOR / VISUAL PRIORITIES</w:t>
      </w:r>
    </w:p>
    <w:p>
      <w:pPr>
        <w:pStyle w:val="ListBullet"/>
      </w:pPr>
      <w:r>
        <w:t>Congratulated before described: full-screen quote moment</w:t>
      </w:r>
    </w:p>
    <w:p>
      <w:pPr>
        <w:pStyle w:val="ListBullet"/>
      </w:pPr>
      <w:r>
        <w:t>TWO DIFFERENT JOBS: side-by-side, not ladder</w:t>
      </w:r>
    </w:p>
    <w:p>
      <w:pPr>
        <w:pStyle w:val="ListBullet"/>
      </w:pPr>
      <w:r>
        <w:t>Five variables moving independently</w:t>
      </w:r>
    </w:p>
    <w:p>
      <w:pPr>
        <w:pStyle w:val="ListBullet"/>
      </w:pPr>
      <w:r>
        <w:t>Four questions: full-screen photo-friendly frame</w:t>
      </w:r>
    </w:p>
    <w:p>
      <w:r>
        <w:rPr>
          <w:b/>
          <w:sz w:val="24"/>
        </w:rPr>
        <w:t>FINAL QA</w:t>
      </w:r>
    </w:p>
    <w:p>
      <w:pPr>
        <w:pStyle w:val="ListBullet"/>
      </w:pPr>
      <w:r>
        <w:t>No em dashes. U.S. English.</w:t>
      </w:r>
    </w:p>
    <w:p>
      <w:pPr>
        <w:pStyle w:val="ListBullet"/>
      </w:pPr>
      <w:r>
        <w:t>No burned-in captions for long-form. Deliver SRT from final edit.</w:t>
      </w:r>
    </w:p>
    <w:p>
      <w:pPr>
        <w:pStyle w:val="ListBullet"/>
      </w:pPr>
      <w:r>
        <w:t>Substantive framework visuals are true full screen.</w:t>
      </w:r>
    </w:p>
    <w:p>
      <w:pPr>
        <w:pStyle w:val="ListBullet"/>
      </w:pPr>
      <w:r>
        <w:t>Watch Next is full screen and final. No return to camera.</w:t>
      </w:r>
    </w:p>
    <w:p>
      <w:pPr>
        <w:pStyle w:val="ListBullet"/>
      </w:pPr>
      <w:r>
        <w:t>Do not add claims, outcomes, or certainty not present in this master.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