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Who already pays for this?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anything else, ask who already spends money on this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anything else, ask who already spends money on this problem.</w:t>
      </w:r>
    </w:p>
    <w:p>
      <w:pPr>
        <w:spacing w:before="0" w:after="200" w:line="322" w:lineRule="auto"/>
      </w:pPr>
      <w:r>
        <w:rPr>
          <w:sz w:val="25"/>
        </w:rPr>
        <w:t>Not who suffers from it. Almost everybody has problems.</w:t>
      </w:r>
    </w:p>
    <w:p>
      <w:pPr>
        <w:spacing w:before="0" w:after="200" w:line="322" w:lineRule="auto"/>
      </w:pPr>
      <w:r>
        <w:rPr>
          <w:sz w:val="25"/>
        </w:rPr>
        <w:t>Who actually pays somebody to solve it now?</w:t>
      </w:r>
    </w:p>
    <w:p>
      <w:pPr>
        <w:spacing w:before="0" w:after="200" w:line="322" w:lineRule="auto"/>
      </w:pPr>
      <w:r>
        <w:rPr>
          <w:sz w:val="25"/>
        </w:rPr>
        <w:t>Sometimes the answer is that it is handled internally and there is no obvious external budget.</w:t>
      </w:r>
    </w:p>
    <w:p>
      <w:pPr>
        <w:spacing w:before="0" w:after="200" w:line="322" w:lineRule="auto"/>
      </w:pPr>
      <w:r>
        <w:rPr>
          <w:sz w:val="25"/>
        </w:rPr>
        <w:t>That does not make consulting impossible. It means part of your work will be creating demand, and you should know that before you resign.</w:t>
      </w:r>
    </w:p>
    <w:p>
      <w:pPr>
        <w:spacing w:before="0" w:after="200" w:line="322" w:lineRule="auto"/>
      </w:pPr>
      <w:r>
        <w:rPr>
          <w:sz w:val="25"/>
        </w:rPr>
        <w:t>And if a budget exists, find out who signs it. That may not be the person with the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organization that already pays for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Who has the problem, and who releases the money. Two people.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the buyer question.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  |  v19_a2_who_signs_it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