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20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Decay and change are different problems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When you come back, separate two things that feel identical.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When you come back, separate two things that feel identical.</w:t>
      </w:r>
    </w:p>
    <w:p>
      <w:pPr>
        <w:spacing w:before="0" w:after="200" w:line="322" w:lineRule="auto"/>
      </w:pPr>
      <w:r>
        <w:rPr>
          <w:sz w:val="25"/>
        </w:rPr>
        <w:t>Decay is something you once used and have not practiced recently. A system. A process. A pace.</w:t>
      </w:r>
    </w:p>
    <w:p>
      <w:pPr>
        <w:spacing w:before="0" w:after="200" w:line="322" w:lineRule="auto"/>
      </w:pPr>
      <w:r>
        <w:rPr>
          <w:sz w:val="25"/>
        </w:rPr>
        <w:t>Change is when the field itself moved while you were away. New tools. New expectations. New operating assumptions.</w:t>
      </w:r>
    </w:p>
    <w:p>
      <w:pPr>
        <w:spacing w:before="0" w:after="200" w:line="322" w:lineRule="auto"/>
      </w:pPr>
      <w:r>
        <w:rPr>
          <w:sz w:val="25"/>
        </w:rPr>
        <w:t>Those are different problems.</w:t>
      </w:r>
    </w:p>
    <w:p>
      <w:pPr>
        <w:spacing w:before="0" w:after="200" w:line="322" w:lineRule="auto"/>
      </w:pPr>
      <w:r>
        <w:rPr>
          <w:sz w:val="25"/>
        </w:rPr>
        <w:t>But both can often be addressed with targeted updating rather than starting again from zero.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Name one thing that decayed and one thing that changed.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Two labels, then their shared response.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V20 needs updating.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20 Short  |  v20_b2_decay_vs_change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