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20</w:t>
      </w:r>
    </w:p>
    <w:p>
      <w:pPr>
        <w:spacing w:before="0" w:after="80"/>
      </w:pPr>
      <w:r>
        <w:rPr>
          <w:b/>
          <w:i w:val="0"/>
          <w:color w:val="112345"/>
          <w:sz w:val="42"/>
        </w:rPr>
        <w:t>Publishing Materials</w:t>
      </w:r>
    </w:p>
    <w:p>
      <w:pPr>
        <w:spacing w:before="0" w:after="280"/>
      </w:pPr>
      <w:r>
        <w:rPr>
          <w:b w:val="0"/>
          <w:i w:val="0"/>
          <w:color w:val="5A6B82"/>
          <w:sz w:val="20"/>
        </w:rPr>
        <w:t>How to Return After a Career Break Without Starting at Zero</w:t>
      </w:r>
    </w:p>
    <w:p>
      <w:pPr>
        <w:spacing w:before="0" w:after="240"/>
        <w:pBdr>
          <w:bottom w:val="single" w:sz="6" w:color="8A6D1E"/>
        </w:pBdr>
      </w:pPr>
    </w:p>
    <w:p>
      <w:pPr>
        <w:spacing w:after="80"/>
      </w:pPr>
      <w:r>
        <w:rPr>
          <w:b/>
          <w:color w:val="8A6D1E"/>
          <w:sz w:val="20"/>
        </w:rPr>
        <w:t xml:space="preserve">Generated  </w:t>
      </w:r>
      <w:r>
        <w:rPr>
          <w:sz w:val="21"/>
        </w:rPr>
        <w:t>Thursday, September 10, 2026 | 2:31 PM CT (America/Chicago, UTC-05:00)</w:t>
      </w:r>
    </w:p>
    <w:p>
      <w:pPr>
        <w:spacing w:after="80"/>
      </w:pPr>
      <w:r>
        <w:rPr>
          <w:b/>
          <w:color w:val="8A6D1E"/>
          <w:sz w:val="20"/>
        </w:rPr>
        <w:t xml:space="preserve">Source  </w:t>
      </w:r>
      <w:r>
        <w:rPr>
          <w:sz w:val="21"/>
        </w:rPr>
        <w:t>Video_20_FINAL_Rebuilt_Recording_Master.docx  ·  SHA-256 d370d8743fb4fc6342adbe95ae2fa356a9f384aaf0822bcc72c0b3be1baabc92</w:t>
      </w:r>
    </w:p>
    <w:p>
      <w:pPr>
        <w:spacing w:before="200" w:after="200"/>
        <w:ind w:left="216"/>
        <w:pBdr>
          <w:left w:val="single" w:sz="18" w:color="9B2C10" w:space="8"/>
        </w:pBdr>
        <w:keepNext w:val="1"/>
        <w:keepLines w:val="1"/>
      </w:pPr>
      <w:r>
        <w:rPr>
          <w:b/>
          <w:color w:val="9B2C10"/>
          <w:sz w:val="21"/>
        </w:rPr>
        <w:t>The title and the thumbnail wording are taken from the locked master and are not restyled here. No URL, chapter timestamp, music credit or performance claim is invented anywhere in this document.</w:t>
      </w:r>
    </w:p>
    <w:p>
      <w:pPr>
        <w:spacing w:before="320" w:after="120"/>
        <w:keepNext w:val="1"/>
        <w:keepLines w:val="1"/>
      </w:pPr>
      <w:r>
        <w:rPr>
          <w:b/>
          <w:i w:val="0"/>
          <w:color w:val="112345"/>
          <w:sz w:val="26"/>
        </w:rPr>
        <w:t>YOUTUBE TITLE</w:t>
      </w:r>
    </w:p>
    <w:p>
      <w:pPr>
        <w:spacing w:before="0" w:after="160"/>
      </w:pPr>
      <w:r>
        <w:rPr>
          <w:b/>
          <w:i w:val="0"/>
          <w:color w:val="112345"/>
          <w:sz w:val="26"/>
        </w:rPr>
        <w:t>How to Return After a Career Break Without Starting at Zero</w:t>
      </w:r>
    </w:p>
    <w:p>
      <w:pPr>
        <w:spacing w:before="320" w:after="120"/>
        <w:keepNext w:val="1"/>
        <w:keepLines w:val="1"/>
      </w:pPr>
      <w:r>
        <w:rPr>
          <w:b/>
          <w:i w:val="0"/>
          <w:color w:val="112345"/>
          <w:sz w:val="26"/>
        </w:rPr>
        <w:t>THUMBNAIL TEXT</w:t>
      </w:r>
    </w:p>
    <w:p>
      <w:pPr>
        <w:spacing w:before="0" w:after="160"/>
      </w:pPr>
      <w:r>
        <w:rPr>
          <w:b/>
          <w:i w:val="0"/>
          <w:color w:val="112345"/>
          <w:sz w:val="26"/>
        </w:rPr>
        <w:t>WHAT STILL COUNTS NOW?</w:t>
      </w:r>
    </w:p>
    <w:p>
      <w:pPr>
        <w:spacing w:before="320" w:after="120"/>
        <w:keepNext w:val="1"/>
        <w:keepLines w:val="1"/>
      </w:pPr>
      <w:r>
        <w:rPr>
          <w:b/>
          <w:i w:val="0"/>
          <w:color w:val="112345"/>
          <w:sz w:val="26"/>
        </w:rPr>
        <w:t>DESCRIPTION</w:t>
      </w:r>
    </w:p>
    <w:p>
      <w:pPr>
        <w:spacing w:before="0" w:after="160"/>
      </w:pPr>
      <w:r>
        <w:rPr>
          <w:b w:val="0"/>
          <w:i w:val="0"/>
          <w:sz w:val="22"/>
        </w:rPr>
        <w:t>Returning after a career break is not mainly about finding the perfect sentence to explain the gap. The explanation matters. It is not the whole return.</w:t>
      </w:r>
    </w:p>
    <w:p>
      <w:pPr>
        <w:spacing w:before="0" w:after="160"/>
      </w:pPr>
      <w:r>
        <w:rPr>
          <w:b w:val="0"/>
          <w:i w:val="0"/>
          <w:sz w:val="22"/>
        </w:rPr>
        <w:t>This video sorts what you carry into three buckets: still current, needs updating, and needs rebuilding. And it holds on to one distinction that saves people a great deal of wasted effort. Unproven is not the same as absent.</w:t>
      </w:r>
    </w:p>
    <w:p>
      <w:pPr>
        <w:spacing w:before="0" w:after="160"/>
      </w:pPr>
      <w:r>
        <w:rPr>
          <w:b w:val="0"/>
          <w:i w:val="0"/>
          <w:sz w:val="22"/>
        </w:rPr>
        <w:t>It is honest about the market. Bias against career breaks exists, and a better explanation does not make every employer fair. Some routes back may involve a different title, scope or compensation, which is a tradeoff to evaluate rather than a measurement of your worth.</w:t>
      </w:r>
    </w:p>
    <w:p>
      <w:pPr>
        <w:spacing w:before="200" w:after="80"/>
      </w:pPr>
      <w:r>
        <w:rPr>
          <w:b/>
          <w:i w:val="0"/>
          <w:color w:val="8A6D1E"/>
          <w:sz w:val="18"/>
        </w:rPr>
        <w:t>RESOURCE LINE, paste as the last block:</w:t>
      </w:r>
    </w:p>
    <w:p>
      <w:pPr>
        <w:spacing w:before="0" w:after="160"/>
      </w:pPr>
      <w:r>
        <w:rPr>
          <w:b/>
          <w:i w:val="0"/>
          <w:sz w:val="22"/>
        </w:rPr>
        <w:t>Field Kit: https://temidayoafonja.com/fieldkit</w:t>
      </w:r>
    </w:p>
    <w:p>
      <w:pPr>
        <w:spacing w:before="0" w:after="160"/>
      </w:pPr>
      <w:r>
        <w:rPr>
          <w:b w:val="0"/>
          <w:i w:val="0"/>
          <w:color w:val="5A6B82"/>
          <w:sz w:val="20"/>
        </w:rPr>
        <w:t>WATCH NEXT LINE: V4: How to Explain a Career That Looks All Over the Place</w:t>
      </w:r>
    </w:p>
    <w:p>
      <w:pPr>
        <w:spacing w:before="0" w:after="160"/>
      </w:pPr>
      <w:r>
        <w:rPr>
          <w:b w:val="0"/>
          <w:i w:val="0"/>
          <w:color w:val="9B2C10"/>
          <w:sz w:val="20"/>
        </w:rPr>
        <w:t>[PLACEHOLDER] Insert the Watch Next video URL after that video is published. Do not invent a URL.</w:t>
      </w:r>
    </w:p>
    <w:p>
      <w:pPr>
        <w:spacing w:before="320" w:after="120"/>
        <w:keepNext w:val="1"/>
        <w:keepLines w:val="1"/>
      </w:pPr>
      <w:r>
        <w:rPr>
          <w:b/>
          <w:i w:val="0"/>
          <w:color w:val="112345"/>
          <w:sz w:val="26"/>
        </w:rPr>
        <w:t>PINNED COMMENT</w:t>
      </w:r>
    </w:p>
    <w:p>
      <w:pPr>
        <w:spacing w:before="0" w:after="160"/>
      </w:pPr>
      <w:r>
        <w:rPr>
          <w:b w:val="0"/>
          <w:i w:val="0"/>
          <w:sz w:val="22"/>
        </w:rPr>
        <w:t>Two short lists.</w:t>
        <w:br/>
        <w:t>What is current now, with evidence for each item.</w:t>
        <w:br/>
        <w:t>What you are rebuilding now, with a date attached.</w:t>
      </w:r>
    </w:p>
    <w:p>
      <w:pPr>
        <w:spacing w:before="0" w:after="160"/>
      </w:pPr>
      <w:r>
        <w:rPr>
          <w:b w:val="0"/>
          <w:i w:val="0"/>
          <w:sz w:val="22"/>
        </w:rPr>
        <w:t>The date is the part entirely within your control.</w:t>
      </w:r>
    </w:p>
    <w:p>
      <w:pPr>
        <w:spacing w:before="320" w:after="120"/>
        <w:keepNext w:val="1"/>
        <w:keepLines w:val="1"/>
      </w:pPr>
      <w:r>
        <w:rPr>
          <w:b/>
          <w:i w:val="0"/>
          <w:color w:val="112345"/>
          <w:sz w:val="26"/>
        </w:rPr>
        <w:t>TAGS</w:t>
      </w:r>
    </w:p>
    <w:p>
      <w:pPr>
        <w:spacing w:before="0" w:after="160"/>
      </w:pPr>
      <w:r>
        <w:rPr>
          <w:b w:val="0"/>
          <w:i w:val="0"/>
          <w:sz w:val="22"/>
        </w:rPr>
        <w:t>career break, returning to work, career gap, return to work, maternity leave return, career restart, returnship, experienced professionals, career reentry, career strategy, mid career, employment gap</w:t>
      </w:r>
    </w:p>
    <w:p>
      <w:pPr>
        <w:spacing w:before="320" w:after="120"/>
        <w:keepNext w:val="1"/>
        <w:keepLines w:val="1"/>
      </w:pPr>
      <w:r>
        <w:rPr>
          <w:b/>
          <w:i w:val="0"/>
          <w:color w:val="112345"/>
          <w:sz w:val="26"/>
        </w:rPr>
        <w:t>HASHTAGS</w:t>
      </w:r>
    </w:p>
    <w:p>
      <w:pPr>
        <w:spacing w:before="0" w:after="160"/>
      </w:pPr>
      <w:r>
        <w:rPr>
          <w:b/>
          <w:i w:val="0"/>
          <w:sz w:val="24"/>
        </w:rPr>
        <w:t>#CareerBreak  #ReturnToWork  #CapabilityFormation</w:t>
      </w:r>
    </w:p>
    <w:p>
      <w:pPr>
        <w:spacing w:before="320" w:after="120"/>
        <w:keepNext w:val="1"/>
        <w:keepLines w:val="1"/>
      </w:pPr>
      <w:r>
        <w:rPr>
          <w:b/>
          <w:i w:val="0"/>
          <w:color w:val="112345"/>
          <w:sz w:val="26"/>
        </w:rPr>
        <w:t>RESOURCE ROUTE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2736"/>
            <w:shd w:val="clear" w:color="auto" w:fill="F3EFE6"/>
          </w:tcPr>
          <w:p>
            <w:pPr>
              <w:spacing w:before="60" w:after="60" w:line="264" w:lineRule="auto"/>
            </w:pPr>
            <w:r/>
            <w:r>
              <w:rPr>
                <w:b/>
                <w:i w:val="0"/>
                <w:color w:val="112345"/>
                <w:sz w:val="17"/>
              </w:rPr>
              <w:t>RESOURCE</w:t>
            </w:r>
          </w:p>
        </w:tc>
        <w:tc>
          <w:tcPr>
            <w:tcW w:type="dxa" w:w="3024"/>
            <w:shd w:val="clear" w:color="auto" w:fill="F3EFE6"/>
          </w:tcPr>
          <w:p>
            <w:pPr>
              <w:spacing w:before="60" w:after="60" w:line="264" w:lineRule="auto"/>
            </w:pPr>
            <w:r/>
            <w:r>
              <w:rPr>
                <w:b/>
                <w:i w:val="0"/>
                <w:color w:val="112345"/>
                <w:sz w:val="17"/>
              </w:rPr>
              <w:t>WHERE IT LIVES</w:t>
            </w:r>
          </w:p>
        </w:tc>
        <w:tc>
          <w:tcPr>
            <w:tcW w:type="dxa" w:w="3888"/>
            <w:shd w:val="clear" w:color="auto" w:fill="F3EFE6"/>
          </w:tcPr>
          <w:p>
            <w:pPr>
              <w:spacing w:before="60" w:after="60" w:line="264" w:lineRule="auto"/>
            </w:pPr>
            <w:r/>
            <w:r>
              <w:rPr>
                <w:b/>
                <w:i w:val="0"/>
                <w:color w:val="112345"/>
                <w:sz w:val="17"/>
              </w:rPr>
              <w:t>HOW IT IS USED</w:t>
            </w:r>
          </w:p>
        </w:tc>
      </w:tr>
      <w:tr>
        <w:tc>
          <w:tcPr>
            <w:tcW w:type="dxa" w:w="2736"/>
          </w:tcPr>
          <w:p>
            <w:pPr>
              <w:spacing w:before="60" w:after="60" w:line="264" w:lineRule="auto"/>
            </w:pPr>
            <w:r/>
            <w:r>
              <w:rPr>
                <w:b w:val="0"/>
                <w:i w:val="0"/>
                <w:sz w:val="18"/>
              </w:rPr>
              <w:t>Field Kit</w:t>
            </w:r>
          </w:p>
        </w:tc>
        <w:tc>
          <w:tcPr>
            <w:tcW w:type="dxa" w:w="3024"/>
          </w:tcPr>
          <w:p>
            <w:pPr>
              <w:spacing w:before="60" w:after="60" w:line="264" w:lineRule="auto"/>
            </w:pPr>
            <w:r/>
            <w:r>
              <w:rPr>
                <w:b w:val="0"/>
                <w:i w:val="0"/>
                <w:sz w:val="18"/>
              </w:rPr>
              <w:t>temidayoafonja.com/fieldkit</w:t>
            </w:r>
          </w:p>
        </w:tc>
        <w:tc>
          <w:tcPr>
            <w:tcW w:type="dxa" w:w="3888"/>
          </w:tcPr>
          <w:p>
            <w:pPr>
              <w:spacing w:before="60" w:after="60" w:line="264" w:lineRule="auto"/>
            </w:pPr>
            <w:r/>
            <w:r>
              <w:rPr>
                <w:b w:val="0"/>
                <w:i w:val="0"/>
                <w:sz w:val="18"/>
              </w:rPr>
              <w:t>Named once in the script, after the teaching. One primary CTA. No second offer is added.</w:t>
            </w:r>
          </w:p>
        </w:tc>
      </w:tr>
    </w:tbl>
    <w:p>
      <w:pPr>
        <w:spacing w:after="120"/>
      </w:pPr>
    </w:p>
    <w:p>
      <w:pPr>
        <w:spacing w:before="320" w:after="120"/>
        <w:keepNext w:val="1"/>
        <w:keepLines w:val="1"/>
      </w:pPr>
      <w:r>
        <w:rPr>
          <w:b/>
          <w:i w:val="0"/>
          <w:color w:val="112345"/>
          <w:sz w:val="26"/>
        </w:rPr>
        <w:t>WATCH NEXT AND PLAYLIST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944"/>
            <w:shd w:val="clear" w:color="auto" w:fill="F3EFE6"/>
          </w:tcPr>
          <w:p>
            <w:pPr>
              <w:spacing w:before="60" w:after="60" w:line="264" w:lineRule="auto"/>
            </w:pPr>
            <w:r/>
            <w:r>
              <w:rPr>
                <w:b/>
                <w:i w:val="0"/>
                <w:color w:val="112345"/>
                <w:sz w:val="17"/>
              </w:rPr>
              <w:t>FIELD</w:t>
            </w:r>
          </w:p>
        </w:tc>
        <w:tc>
          <w:tcPr>
            <w:tcW w:type="dxa" w:w="7704"/>
            <w:shd w:val="clear" w:color="auto" w:fill="F3EFE6"/>
          </w:tcPr>
          <w:p>
            <w:pPr>
              <w:spacing w:before="60" w:after="60" w:line="264" w:lineRule="auto"/>
            </w:pPr>
            <w:r/>
            <w:r>
              <w:rPr>
                <w:b/>
                <w:i w:val="0"/>
                <w:color w:val="112345"/>
                <w:sz w:val="17"/>
              </w:rPr>
              <w:t>VALUE</w:t>
            </w:r>
          </w:p>
        </w:tc>
      </w:tr>
      <w:tr>
        <w:tc>
          <w:tcPr>
            <w:tcW w:type="dxa" w:w="1944"/>
          </w:tcPr>
          <w:p>
            <w:pPr>
              <w:spacing w:before="60" w:after="60" w:line="264" w:lineRule="auto"/>
            </w:pPr>
            <w:r/>
            <w:r>
              <w:rPr>
                <w:b w:val="0"/>
                <w:i w:val="0"/>
                <w:sz w:val="18"/>
              </w:rPr>
              <w:t>Watch Next</w:t>
            </w:r>
          </w:p>
        </w:tc>
        <w:tc>
          <w:tcPr>
            <w:tcW w:type="dxa" w:w="7704"/>
          </w:tcPr>
          <w:p>
            <w:pPr>
              <w:spacing w:before="60" w:after="60" w:line="264" w:lineRule="auto"/>
            </w:pPr>
            <w:r/>
            <w:r>
              <w:rPr>
                <w:b w:val="0"/>
                <w:i w:val="0"/>
                <w:sz w:val="18"/>
              </w:rPr>
              <w:t>V4: How to Explain a Career That Looks All Over the Place</w:t>
            </w:r>
          </w:p>
        </w:tc>
      </w:tr>
      <w:tr>
        <w:tc>
          <w:tcPr>
            <w:tcW w:type="dxa" w:w="1944"/>
          </w:tcPr>
          <w:p>
            <w:pPr>
              <w:spacing w:before="60" w:after="60" w:line="264" w:lineRule="auto"/>
            </w:pPr>
            <w:r/>
            <w:r>
              <w:rPr>
                <w:b w:val="0"/>
                <w:i w:val="0"/>
                <w:sz w:val="18"/>
              </w:rPr>
              <w:t>Playlist</w:t>
            </w:r>
          </w:p>
        </w:tc>
        <w:tc>
          <w:tcPr>
            <w:tcW w:type="dxa" w:w="7704"/>
          </w:tcPr>
          <w:p>
            <w:pPr>
              <w:spacing w:before="60" w:after="60" w:line="264" w:lineRule="auto"/>
            </w:pPr>
            <w:r/>
            <w:r>
              <w:rPr>
                <w:b w:val="0"/>
                <w:i w:val="0"/>
                <w:sz w:val="18"/>
              </w:rPr>
              <w:t>Capability Formation: career pivots and internal moves</w:t>
            </w:r>
          </w:p>
        </w:tc>
      </w:tr>
      <w:tr>
        <w:tc>
          <w:tcPr>
            <w:tcW w:type="dxa" w:w="1944"/>
          </w:tcPr>
          <w:p>
            <w:pPr>
              <w:spacing w:before="60" w:after="60" w:line="264" w:lineRule="auto"/>
            </w:pPr>
            <w:r/>
            <w:r>
              <w:rPr>
                <w:b w:val="0"/>
                <w:i w:val="0"/>
                <w:sz w:val="18"/>
              </w:rPr>
              <w:t>End screen</w:t>
            </w:r>
          </w:p>
        </w:tc>
        <w:tc>
          <w:tcPr>
            <w:tcW w:type="dxa" w:w="7704"/>
          </w:tcPr>
          <w:p>
            <w:pPr>
              <w:spacing w:before="60" w:after="60" w:line="264" w:lineRule="auto"/>
            </w:pPr>
            <w:r/>
            <w:r>
              <w:rPr>
                <w:b w:val="0"/>
                <w:i w:val="0"/>
                <w:sz w:val="18"/>
              </w:rPr>
              <w:t>Watch Next is the final full-screen visual. The card keeps its copy on the left so a YouTube end screen can sit on the right. No return to camera afterward.</w:t>
            </w:r>
          </w:p>
        </w:tc>
      </w:tr>
    </w:tbl>
    <w:p>
      <w:pPr>
        <w:spacing w:after="120"/>
      </w:pPr>
    </w:p>
    <w:p>
      <w:pPr>
        <w:spacing w:before="320" w:after="120"/>
        <w:keepNext w:val="1"/>
        <w:keepLines w:val="1"/>
      </w:pPr>
      <w:r>
        <w:rPr>
          <w:b/>
          <w:i w:val="0"/>
          <w:color w:val="112345"/>
          <w:sz w:val="26"/>
        </w:rPr>
        <w:t>CANVA THUMBNAIL BRIEF</w:t>
      </w:r>
    </w:p>
    <w:p>
      <w:pPr>
        <w:spacing w:after="80" w:line="278" w:lineRule="auto"/>
        <w:ind w:left="547" w:hanging="230"/>
      </w:pPr>
      <w:r>
        <w:rPr>
          <w:sz w:val="21"/>
        </w:rPr>
        <w:t>•   Headline text, exactly as locked: WHAT STILL COUNTS NOW?</w:t>
      </w:r>
    </w:p>
    <w:p>
      <w:pPr>
        <w:spacing w:after="80" w:line="278" w:lineRule="auto"/>
        <w:ind w:left="547" w:hanging="230"/>
      </w:pPr>
      <w:r>
        <w:rPr>
          <w:sz w:val="21"/>
        </w:rPr>
        <w:t>•   Set the headline flush left in short stacked lines, Montserrat ExtraBold, cap height 240 to 300 px on a 3840 by 2160 master.</w:t>
      </w:r>
    </w:p>
    <w:p>
      <w:pPr>
        <w:spacing w:after="80" w:line="278" w:lineRule="auto"/>
        <w:ind w:left="547" w:hanging="230"/>
      </w:pPr>
      <w:r>
        <w:rPr>
          <w:sz w:val="21"/>
        </w:rPr>
        <w:t>•   Deep navy #112345 field. Warm cream and white for the headline. Bright warm yellow as selective emphasis only, well under about 4 percent of the canvas.</w:t>
      </w:r>
    </w:p>
    <w:p>
      <w:pPr>
        <w:spacing w:after="80" w:line="278" w:lineRule="auto"/>
        <w:ind w:left="547" w:hanging="230"/>
      </w:pPr>
      <w:r>
        <w:rPr>
          <w:sz w:val="21"/>
        </w:rPr>
        <w:t>•   Large real portrait of Temidayo on the right, about 44 to 47 percent of the canvas. Natural skin tone. Use an approved real photograph.</w:t>
      </w:r>
    </w:p>
    <w:p>
      <w:pPr>
        <w:spacing w:after="80" w:line="278" w:lineRule="auto"/>
        <w:ind w:left="547" w:hanging="230"/>
      </w:pPr>
      <w:r>
        <w:rPr>
          <w:sz w:val="21"/>
        </w:rPr>
        <w:t>•   Do NOT generate, reconstruct, beautify or alter the face. Permitted on the source photograph: crop, mask, restrained exposure adjustment, color balance, background removal.</w:t>
      </w:r>
    </w:p>
    <w:p>
      <w:pPr>
        <w:spacing w:after="80" w:line="278" w:lineRule="auto"/>
        <w:ind w:left="547" w:hanging="230"/>
      </w:pPr>
      <w:r>
        <w:rPr>
          <w:sz w:val="21"/>
        </w:rPr>
        <w:t>•   No clutter, no tiny text, no fake icons, no AI-looking people, no numbers and no implied statistic.</w:t>
      </w:r>
    </w:p>
    <w:p>
      <w:pPr>
        <w:spacing w:after="80" w:line="278" w:lineRule="auto"/>
        <w:ind w:left="547" w:hanging="230"/>
      </w:pPr>
      <w:r>
        <w:rPr>
          <w:sz w:val="21"/>
        </w:rPr>
        <w:t>•   Keep the portrait layer and the text layer editable and separate.</w:t>
      </w:r>
    </w:p>
    <w:p>
      <w:pPr>
        <w:spacing w:after="80" w:line="278" w:lineRule="auto"/>
        <w:ind w:left="547" w:hanging="230"/>
      </w:pPr>
      <w:r>
        <w:rPr>
          <w:sz w:val="21"/>
        </w:rPr>
        <w:t>•   Must be legible at 200 px wide, which is the recommendation-column size.</w:t>
      </w:r>
    </w:p>
    <w:p>
      <w:pPr>
        <w:spacing w:after="80" w:line="278" w:lineRule="auto"/>
        <w:ind w:left="547" w:hanging="230"/>
      </w:pPr>
      <w:r>
        <w:rPr>
          <w:sz w:val="21"/>
        </w:rPr>
        <w:t>•   Export a 3840 by 2160 PNG master and a 1280 by 720 JPG for upload, quality 95, under 2 MB.</w:t>
      </w:r>
    </w:p>
    <w:p>
      <w:pPr>
        <w:spacing w:after="80" w:line="278" w:lineRule="auto"/>
        <w:ind w:left="547" w:hanging="230"/>
      </w:pPr>
      <w:r>
        <w:rPr>
          <w:sz w:val="21"/>
        </w:rPr>
        <w:t>•   Artwork is approved separately. This brief does not authorize a finished thumbnail.</w:t>
      </w:r>
    </w:p>
    <w:p>
      <w:pPr>
        <w:spacing w:before="320" w:after="120"/>
        <w:keepNext w:val="1"/>
        <w:keepLines w:val="1"/>
      </w:pPr>
      <w:r>
        <w:rPr>
          <w:b/>
          <w:i w:val="0"/>
          <w:color w:val="112345"/>
          <w:sz w:val="26"/>
        </w:rPr>
        <w:t>PUBLICATION AND LINK CHECKLIST</w:t>
      </w:r>
    </w:p>
    <w:p>
      <w:pPr>
        <w:spacing w:after="100" w:line="278" w:lineRule="auto"/>
        <w:ind w:left="490" w:hanging="490"/>
      </w:pPr>
      <w:r>
        <w:rPr>
          <w:b/>
          <w:sz w:val="21"/>
        </w:rPr>
        <w:t xml:space="preserve">1.   </w:t>
      </w:r>
      <w:r>
        <w:rPr>
          <w:sz w:val="21"/>
        </w:rPr>
        <w:t>Thumbnail artwork approved separately, and checked at 200 px wide.</w:t>
      </w:r>
    </w:p>
    <w:p>
      <w:pPr>
        <w:spacing w:after="100" w:line="278" w:lineRule="auto"/>
        <w:ind w:left="490" w:hanging="490"/>
      </w:pPr>
      <w:r>
        <w:rPr>
          <w:b/>
          <w:sz w:val="21"/>
        </w:rPr>
        <w:t xml:space="preserve">2.   </w:t>
      </w:r>
      <w:r>
        <w:rPr>
          <w:sz w:val="21"/>
        </w:rPr>
        <w:t>Title and thumbnail wording match the locked master exactly.</w:t>
      </w:r>
    </w:p>
    <w:p>
      <w:pPr>
        <w:spacing w:after="100" w:line="278" w:lineRule="auto"/>
        <w:ind w:left="490" w:hanging="490"/>
      </w:pPr>
      <w:r>
        <w:rPr>
          <w:b/>
          <w:sz w:val="21"/>
        </w:rPr>
        <w:t xml:space="preserve">3.   </w:t>
      </w:r>
      <w:r>
        <w:rPr>
          <w:sz w:val="21"/>
        </w:rPr>
        <w:t>Description resource link tested while signed out.</w:t>
      </w:r>
    </w:p>
    <w:p>
      <w:pPr>
        <w:spacing w:after="100" w:line="278" w:lineRule="auto"/>
        <w:ind w:left="490" w:hanging="490"/>
      </w:pPr>
      <w:r>
        <w:rPr>
          <w:b/>
          <w:sz w:val="21"/>
        </w:rPr>
        <w:t xml:space="preserve">4.   </w:t>
      </w:r>
      <w:r>
        <w:rPr>
          <w:sz w:val="21"/>
        </w:rPr>
        <w:t>Watch Next URL inserted once that video is published. Not before.</w:t>
      </w:r>
    </w:p>
    <w:p>
      <w:pPr>
        <w:spacing w:after="100" w:line="278" w:lineRule="auto"/>
        <w:ind w:left="490" w:hanging="490"/>
      </w:pPr>
      <w:r>
        <w:rPr>
          <w:b/>
          <w:sz w:val="21"/>
        </w:rPr>
        <w:t xml:space="preserve">5.   </w:t>
      </w:r>
      <w:r>
        <w:rPr>
          <w:sz w:val="21"/>
        </w:rPr>
        <w:t>Captions: no burned-in subtitles on the export. SRT uploaded, generated from the final edited timeline.</w:t>
      </w:r>
    </w:p>
    <w:p>
      <w:pPr>
        <w:spacing w:after="100" w:line="278" w:lineRule="auto"/>
        <w:ind w:left="490" w:hanging="490"/>
      </w:pPr>
      <w:r>
        <w:rPr>
          <w:b/>
          <w:sz w:val="21"/>
        </w:rPr>
        <w:t xml:space="preserve">6.   </w:t>
      </w:r>
      <w:r>
        <w:rPr>
          <w:sz w:val="21"/>
        </w:rPr>
        <w:t>Chapters written from the actual final export. None exist yet.</w:t>
      </w:r>
    </w:p>
    <w:p>
      <w:pPr>
        <w:spacing w:after="100" w:line="278" w:lineRule="auto"/>
        <w:ind w:left="490" w:hanging="490"/>
      </w:pPr>
      <w:r>
        <w:rPr>
          <w:b/>
          <w:sz w:val="21"/>
        </w:rPr>
        <w:t xml:space="preserve">7.   </w:t>
      </w:r>
      <w:r>
        <w:rPr>
          <w:sz w:val="21"/>
        </w:rPr>
        <w:t>Music attribution completed from the actual track used. None is recorded here.</w:t>
      </w:r>
    </w:p>
    <w:p>
      <w:pPr>
        <w:spacing w:after="100" w:line="278" w:lineRule="auto"/>
        <w:ind w:left="490" w:hanging="490"/>
      </w:pPr>
      <w:r>
        <w:rPr>
          <w:b/>
          <w:sz w:val="21"/>
        </w:rPr>
        <w:t xml:space="preserve">8.   </w:t>
      </w:r>
      <w:r>
        <w:rPr>
          <w:sz w:val="21"/>
        </w:rPr>
        <w:t>End screen configured so it does not cover the Watch Next copy.</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20 publishing materials  |  copy taken from the locked final master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