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CAPABILITY FORMATION | VIDEO 21</w:t>
      </w:r>
    </w:p>
    <w:p>
      <w:pPr>
        <w:jc w:val="center"/>
      </w:pPr>
      <w:r>
        <w:rPr>
          <w:b/>
          <w:sz w:val="40"/>
        </w:rPr>
        <w:t>What You Must Relearn When You Change Industries</w:t>
      </w:r>
    </w:p>
    <w:p>
      <w:pPr>
        <w:jc w:val="center"/>
      </w:pPr>
      <w:r>
        <w:rPr>
          <w:b/>
          <w:sz w:val="18"/>
        </w:rPr>
        <w:t>FINAL REBUILT RECORDING MASTER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9E2D0"/>
          </w:tcPr>
          <w:p>
            <w:r>
              <w:t>Created / revised</w:t>
            </w:r>
          </w:p>
        </w:tc>
        <w:tc>
          <w:tcPr>
            <w:tcW w:type="dxa" w:w="5040"/>
          </w:tcPr>
          <w:p>
            <w:r>
              <w:t>Thursday, September 10, 2026 | CT</w:t>
            </w:r>
          </w:p>
        </w:tc>
      </w:tr>
      <w:tr>
        <w:tc>
          <w:tcPr>
            <w:tcW w:type="dxa" w:w="5040"/>
            <w:shd w:fill="E9E2D0"/>
          </w:tcPr>
          <w:p>
            <w:r>
              <w:t>Recommended title</w:t>
            </w:r>
          </w:p>
        </w:tc>
        <w:tc>
          <w:tcPr>
            <w:tcW w:type="dxa" w:w="5040"/>
          </w:tcPr>
          <w:p>
            <w:r>
              <w:t>What You Must Relearn When You Change Industries</w:t>
            </w:r>
          </w:p>
        </w:tc>
      </w:tr>
      <w:tr>
        <w:tc>
          <w:tcPr>
            <w:tcW w:type="dxa" w:w="5040"/>
            <w:shd w:fill="E9E2D0"/>
          </w:tcPr>
          <w:p>
            <w:r>
              <w:t>Thumbnail</w:t>
            </w:r>
          </w:p>
        </w:tc>
        <w:tc>
          <w:tcPr>
            <w:tcW w:type="dxa" w:w="5040"/>
          </w:tcPr>
          <w:p>
            <w:r>
              <w:t>NOT EVERYTHING TRAVELS</w:t>
            </w:r>
          </w:p>
        </w:tc>
      </w:tr>
      <w:tr>
        <w:tc>
          <w:tcPr>
            <w:tcW w:type="dxa" w:w="5040"/>
            <w:shd w:fill="E9E2D0"/>
          </w:tcPr>
          <w:p>
            <w:r>
              <w:t>Framework</w:t>
            </w:r>
          </w:p>
        </w:tc>
        <w:tc>
          <w:tcPr>
            <w:tcW w:type="dxa" w:w="5040"/>
          </w:tcPr>
          <w:p>
            <w:r>
              <w:t>Domain. Requirements. Systems. Relationships. Decisions.</w:t>
            </w:r>
          </w:p>
        </w:tc>
      </w:tr>
      <w:tr>
        <w:tc>
          <w:tcPr>
            <w:tcW w:type="dxa" w:w="5040"/>
            <w:shd w:fill="E9E2D0"/>
          </w:tcPr>
          <w:p>
            <w:r>
              <w:t>Primary CTA</w:t>
            </w:r>
          </w:p>
        </w:tc>
        <w:tc>
          <w:tcPr>
            <w:tcW w:type="dxa" w:w="5040"/>
          </w:tcPr>
          <w:p>
            <w:r>
              <w:t>Build a five-layer relearning inventory for one destination.</w:t>
            </w:r>
          </w:p>
        </w:tc>
      </w:tr>
      <w:tr>
        <w:tc>
          <w:tcPr>
            <w:tcW w:type="dxa" w:w="5040"/>
            <w:shd w:fill="E9E2D0"/>
          </w:tcPr>
          <w:p>
            <w:r>
              <w:t>Resource</w:t>
            </w:r>
          </w:p>
        </w:tc>
        <w:tc>
          <w:tcPr>
            <w:tcW w:type="dxa" w:w="5040"/>
          </w:tcPr>
          <w:p>
            <w:r>
              <w:t>Field Kit</w:t>
            </w:r>
          </w:p>
        </w:tc>
      </w:tr>
      <w:tr>
        <w:tc>
          <w:tcPr>
            <w:tcW w:type="dxa" w:w="5040"/>
            <w:shd w:fill="E9E2D0"/>
          </w:tcPr>
          <w:p>
            <w:r>
              <w:t>Watch Next</w:t>
            </w:r>
          </w:p>
        </w:tc>
        <w:tc>
          <w:tcPr>
            <w:tcW w:type="dxa" w:w="5040"/>
          </w:tcPr>
          <w:p>
            <w:r>
              <w:t>V9: How to Change Industries Without Starting Over</w:t>
            </w:r>
          </w:p>
        </w:tc>
      </w:tr>
    </w:tbl>
    <w:p/>
    <w:p>
      <w:r>
        <w:rPr>
          <w:b/>
          <w:sz w:val="26"/>
        </w:rPr>
        <w:t>RECORDING SCRIPT STARTS HERE</w:t>
      </w:r>
    </w:p>
    <w:p>
      <w:r>
        <w:rPr>
          <w:b/>
          <w:sz w:val="24"/>
        </w:rPr>
        <w:t>HOOK | You can still do the work, but the room is different</w:t>
      </w:r>
    </w:p>
    <w:p>
      <w:pPr>
        <w:spacing w:after="120" w:line="259" w:lineRule="auto"/>
      </w:pPr>
      <w:r>
        <w:t>You made the industry change.</w:t>
      </w:r>
    </w:p>
    <w:p>
      <w:pPr>
        <w:spacing w:after="120" w:line="259" w:lineRule="auto"/>
      </w:pPr>
      <w:r>
        <w:t>And the surprising part is that you can still do the work.</w:t>
      </w:r>
    </w:p>
    <w:p>
      <w:pPr>
        <w:spacing w:after="120" w:line="259" w:lineRule="auto"/>
      </w:pPr>
      <w:r>
        <w:t>What keeps catching you are the things nobody thought to explain.</w:t>
      </w:r>
    </w:p>
    <w:p>
      <w:pPr>
        <w:spacing w:after="120" w:line="259" w:lineRule="auto"/>
      </w:pPr>
      <w:r>
        <w:t>A meeting where everybody understands a phrase you have never heard. A decision that goes a direction you would not have predicted. A relationship that matters for reasons no process document mentions.</w:t>
      </w:r>
    </w:p>
    <w:p>
      <w:pPr>
        <w:spacing w:after="120" w:line="259" w:lineRule="auto"/>
      </w:pPr>
      <w:r>
        <w:t>That is the part of an industry change people underestimate.</w:t>
      </w:r>
    </w:p>
    <w:p>
      <w:r>
        <w:rPr>
          <w:b/>
          <w:sz w:val="24"/>
        </w:rPr>
        <w:t>WHAT DOES TRAVEL</w:t>
      </w:r>
    </w:p>
    <w:p>
      <w:pPr>
        <w:spacing w:after="120" w:line="259" w:lineRule="auto"/>
      </w:pPr>
      <w:r>
        <w:t>Before we talk about relearning, name what came with you.</w:t>
      </w:r>
    </w:p>
    <w:p>
      <w:pPr>
        <w:spacing w:after="120" w:line="259" w:lineRule="auto"/>
      </w:pPr>
      <w:r>
        <w:t>How you break a problem into parts. How you judge whether work is good. How you handle ambiguity. How you work with difficult people. The patterns you have learned to notice.</w:t>
      </w:r>
    </w:p>
    <w:p>
      <w:pPr>
        <w:spacing w:after="120" w:line="259" w:lineRule="auto"/>
      </w:pPr>
      <w:r>
        <w:t>That is real experience. It can give you a starting point.</w:t>
      </w:r>
    </w:p>
    <w:p>
      <w:pPr>
        <w:spacing w:after="120" w:line="259" w:lineRule="auto"/>
      </w:pPr>
      <w:r>
        <w:t>It is also not everything.</w:t>
      </w:r>
    </w:p>
    <w:p>
      <w:r>
        <w:rPr>
          <w:b/>
          <w:sz w:val="24"/>
        </w:rPr>
        <w:t>THE FIVE-LAYER INVENTORY</w:t>
      </w:r>
    </w:p>
    <w:p>
      <w:pPr>
        <w:spacing w:after="120" w:line="259" w:lineRule="auto"/>
      </w:pPr>
      <w:r>
        <w:t>I would sort the relearning into five layers: domain knowledge, regulation and credentials, systems and tooling, relationships and internal history, and how decisions get made here.</w:t>
      </w:r>
    </w:p>
    <w:p>
      <w:pPr>
        <w:spacing w:after="120" w:line="259" w:lineRule="auto"/>
      </w:pPr>
      <w:r>
        <w:t>The order matters less than one question: which layer will block useful contribution first in this specific role?</w:t>
      </w:r>
    </w:p>
    <w:p>
      <w:r>
        <w:rPr>
          <w:b/>
          <w:sz w:val="24"/>
        </w:rPr>
        <w:t>1 | Domain knowledge</w:t>
      </w:r>
    </w:p>
    <w:p>
      <w:pPr>
        <w:spacing w:after="120" w:line="259" w:lineRule="auto"/>
      </w:pPr>
      <w:r>
        <w:t>First, learn what the work is actually about in this setting.</w:t>
      </w:r>
    </w:p>
    <w:p>
      <w:pPr>
        <w:spacing w:after="120" w:line="259" w:lineRule="auto"/>
      </w:pPr>
      <w:r>
        <w:t>Who the real customer is. What a bad outcome looks like. Where the risk sits. What the money, product, patient, regulator, user, or operating model actually requires.</w:t>
      </w:r>
    </w:p>
    <w:p>
      <w:pPr>
        <w:spacing w:after="120" w:line="259" w:lineRule="auto"/>
      </w:pPr>
      <w:r>
        <w:t>Your prior experience may help you learn this more intelligently. It does not make the knowledge unnecessary.</w:t>
      </w:r>
    </w:p>
    <w:p>
      <w:r>
        <w:rPr>
          <w:b/>
          <w:sz w:val="24"/>
        </w:rPr>
        <w:t>2 | Regulation and credentials</w:t>
      </w:r>
    </w:p>
    <w:p>
      <w:pPr>
        <w:spacing w:after="120" w:line="259" w:lineRule="auto"/>
      </w:pPr>
      <w:r>
        <w:t>Second, check regulation and credentials plainly.</w:t>
      </w:r>
    </w:p>
    <w:p>
      <w:pPr>
        <w:spacing w:after="120" w:line="259" w:lineRule="auto"/>
      </w:pPr>
      <w:r>
        <w:t>If a role requires a license, registration, or qualification you do not hold, adjacent experience does not erase that requirement.</w:t>
      </w:r>
    </w:p>
    <w:p>
      <w:pPr>
        <w:spacing w:after="120" w:line="259" w:lineRule="auto"/>
      </w:pPr>
      <w:r>
        <w:t>A licensing requirement is not a mindset issue.</w:t>
      </w:r>
    </w:p>
    <w:p>
      <w:pPr>
        <w:spacing w:after="120" w:line="259" w:lineRule="auto"/>
      </w:pPr>
      <w:r>
        <w:t>Confirm what is binding, what is preferred, and what you need to do from the body or employer that actually sets the requirement.</w:t>
      </w:r>
    </w:p>
    <w:p>
      <w:r>
        <w:rPr>
          <w:b/>
          <w:sz w:val="24"/>
        </w:rPr>
        <w:t>3 | Systems and tooling</w:t>
      </w:r>
    </w:p>
    <w:p>
      <w:pPr>
        <w:spacing w:after="120" w:line="259" w:lineRule="auto"/>
      </w:pPr>
      <w:r>
        <w:t>Third, systems and tooling.</w:t>
      </w:r>
    </w:p>
    <w:p>
      <w:pPr>
        <w:spacing w:after="120" w:line="259" w:lineRule="auto"/>
      </w:pPr>
      <w:r>
        <w:t>These are often the most visible gaps because they have names. New platforms. New internal systems. Different workflows.</w:t>
      </w:r>
    </w:p>
    <w:p>
      <w:pPr>
        <w:spacing w:after="120" w:line="259" w:lineRule="auto"/>
      </w:pPr>
      <w:r>
        <w:t>Some can be learned relatively directly through documentation, training, or guided use. Others are deeply tied to the operating environment.</w:t>
      </w:r>
    </w:p>
    <w:p>
      <w:pPr>
        <w:spacing w:after="120" w:line="259" w:lineRule="auto"/>
      </w:pPr>
      <w:r>
        <w:t>Do not spend all your preparation time on the easiest-to-name layer while the harder context remains untouched.</w:t>
      </w:r>
    </w:p>
    <w:p>
      <w:r>
        <w:rPr>
          <w:b/>
          <w:sz w:val="24"/>
        </w:rPr>
        <w:t>4 | Relationships and internal history</w:t>
      </w:r>
    </w:p>
    <w:p>
      <w:pPr>
        <w:spacing w:after="120" w:line="259" w:lineRule="auto"/>
      </w:pPr>
      <w:r>
        <w:t>Fourth, relationships and internal history.</w:t>
      </w:r>
    </w:p>
    <w:p>
      <w:pPr>
        <w:spacing w:after="120" w:line="259" w:lineRule="auto"/>
      </w:pPr>
      <w:r>
        <w:t>Why a team is cautious. Why the obvious solution has already been tried. Who has to be told before a decision even when they do not formally approve it.</w:t>
      </w:r>
    </w:p>
    <w:p>
      <w:pPr>
        <w:spacing w:after="120" w:line="259" w:lineRule="auto"/>
      </w:pPr>
      <w:r>
        <w:t>This is the kind of knowledge least likely to be learned from documentation alone.</w:t>
      </w:r>
    </w:p>
    <w:p>
      <w:pPr>
        <w:spacing w:after="120" w:line="259" w:lineRule="auto"/>
      </w:pPr>
      <w:r>
        <w:t>A useful early question is: has anyone tried this before, and what happened?</w:t>
      </w:r>
    </w:p>
    <w:p>
      <w:r>
        <w:rPr>
          <w:b/>
          <w:sz w:val="24"/>
        </w:rPr>
        <w:t>5 | How decisions get made here</w:t>
      </w:r>
    </w:p>
    <w:p>
      <w:pPr>
        <w:spacing w:after="120" w:line="259" w:lineRule="auto"/>
      </w:pPr>
      <w:r>
        <w:t>Fifth, learn how decisions actually get made.</w:t>
      </w:r>
    </w:p>
    <w:p>
      <w:pPr>
        <w:spacing w:after="120" w:line="259" w:lineRule="auto"/>
      </w:pPr>
      <w:r>
        <w:t>Who decides. On what evidence. What counts as enough to proceed. What is considered too risky. Whether the meeting is where the decision happens or where a decision made elsewhere gets ratified.</w:t>
      </w:r>
    </w:p>
    <w:p>
      <w:pPr>
        <w:spacing w:after="120" w:line="259" w:lineRule="auto"/>
      </w:pPr>
      <w:r>
        <w:t>This is where experienced people can misread a new environment, because competence in the old context included knowing all of this without thinking about it.</w:t>
      </w:r>
    </w:p>
    <w:p>
      <w:r>
        <w:rPr>
          <w:b/>
          <w:sz w:val="24"/>
        </w:rPr>
        <w:t>READ IT OR PRACTICE IT</w:t>
      </w:r>
    </w:p>
    <w:p>
      <w:pPr>
        <w:spacing w:after="120" w:line="259" w:lineRule="auto"/>
      </w:pPr>
      <w:r>
        <w:t>Some parts can be read. Requirements, documentation, domain facts, formal processes.</w:t>
      </w:r>
    </w:p>
    <w:p>
      <w:pPr>
        <w:spacing w:after="120" w:line="259" w:lineRule="auto"/>
      </w:pPr>
      <w:r>
        <w:t>Some parts need exposure, feedback, and practice in the actual environment. Relationships, exception logic, and local decision-making are often in that category.</w:t>
      </w:r>
    </w:p>
    <w:p>
      <w:pPr>
        <w:spacing w:after="120" w:line="259" w:lineRule="auto"/>
      </w:pPr>
      <w:r>
        <w:t>Do not treat the second group as proof that you made the wrong move simply because it takes time to learn.</w:t>
      </w:r>
    </w:p>
    <w:p>
      <w:r>
        <w:rPr>
          <w:b/>
          <w:sz w:val="24"/>
        </w:rPr>
        <w:t>APPLICATION | Order by what blocks you first</w:t>
      </w:r>
    </w:p>
    <w:p>
      <w:pPr>
        <w:spacing w:after="120" w:line="259" w:lineRule="auto"/>
      </w:pPr>
      <w:r>
        <w:t>For one destination role, make five headings.</w:t>
      </w:r>
    </w:p>
    <w:p>
      <w:pPr>
        <w:spacing w:after="120" w:line="259" w:lineRule="auto"/>
      </w:pPr>
      <w:r>
        <w:t>Under each, write what you need to understand here and how you could realistically learn it.</w:t>
      </w:r>
    </w:p>
    <w:p>
      <w:pPr>
        <w:spacing w:after="120" w:line="259" w:lineRule="auto"/>
      </w:pPr>
      <w:r>
        <w:t>Then reorder the list by one question: what stops me contributing usefully first?</w:t>
      </w:r>
    </w:p>
    <w:p>
      <w:pPr>
        <w:spacing w:after="120" w:line="259" w:lineRule="auto"/>
      </w:pPr>
      <w:r>
        <w:t>That is a better sequence than starting with whatever course looks easiest to buy.</w:t>
      </w:r>
    </w:p>
    <w:p>
      <w:r>
        <w:rPr>
          <w:b/>
          <w:sz w:val="24"/>
        </w:rPr>
        <w:t>CLOSE</w:t>
      </w:r>
    </w:p>
    <w:p>
      <w:pPr>
        <w:spacing w:after="120" w:line="259" w:lineRule="auto"/>
      </w:pPr>
      <w:r>
        <w:t>The Field Kit is linked below if you want a structured way to separate what travels from what still needs rebuilding.</w:t>
      </w:r>
    </w:p>
    <w:p>
      <w:pPr>
        <w:spacing w:after="120" w:line="259" w:lineRule="auto"/>
      </w:pPr>
      <w:r>
        <w:t>But start with the inventory for one destination, not an entire industry.</w:t>
      </w:r>
    </w:p>
    <w:p>
      <w:pPr>
        <w:spacing w:after="120" w:line="259" w:lineRule="auto"/>
      </w:pPr>
      <w:r>
        <w:t>Being experienced in a new field can be true at the same time as having real things left to learn.</w:t>
      </w:r>
    </w:p>
    <w:p>
      <w:r>
        <w:rPr>
          <w:b/>
          <w:sz w:val="24"/>
        </w:rPr>
        <w:t>EDITOR / VISUAL PRIORITIES</w:t>
      </w:r>
    </w:p>
    <w:p>
      <w:pPr>
        <w:pStyle w:val="ListBullet"/>
      </w:pPr>
      <w:r>
        <w:t>New room, same professional: camera-led hook</w:t>
      </w:r>
    </w:p>
    <w:p>
      <w:pPr>
        <w:pStyle w:val="ListBullet"/>
      </w:pPr>
      <w:r>
        <w:t>Five relearning layers: full-screen ladder</w:t>
      </w:r>
    </w:p>
    <w:p>
      <w:pPr>
        <w:pStyle w:val="ListBullet"/>
      </w:pPr>
      <w:r>
        <w:t>A LICENSING REQUIREMENT IS NOT A MINDSET ISSUE: full-screen</w:t>
      </w:r>
    </w:p>
    <w:p>
      <w:pPr>
        <w:pStyle w:val="ListBullet"/>
      </w:pPr>
      <w:r>
        <w:t>Read vs practice: full-screen two-column map</w:t>
      </w:r>
    </w:p>
    <w:p>
      <w:r>
        <w:rPr>
          <w:b/>
          <w:sz w:val="24"/>
        </w:rPr>
        <w:t>FINAL QA</w:t>
      </w:r>
    </w:p>
    <w:p>
      <w:pPr>
        <w:pStyle w:val="ListBullet"/>
      </w:pPr>
      <w:r>
        <w:t>No em dashes. U.S. English.</w:t>
      </w:r>
    </w:p>
    <w:p>
      <w:pPr>
        <w:pStyle w:val="ListBullet"/>
      </w:pPr>
      <w:r>
        <w:t>No burned-in captions for long-form. Deliver SRT from final edit.</w:t>
      </w:r>
    </w:p>
    <w:p>
      <w:pPr>
        <w:pStyle w:val="ListBullet"/>
      </w:pPr>
      <w:r>
        <w:t>Substantive framework visuals are true full screen.</w:t>
      </w:r>
    </w:p>
    <w:p>
      <w:pPr>
        <w:pStyle w:val="ListBullet"/>
      </w:pPr>
      <w:r>
        <w:t>Watch Next is full screen and final. No return to camera.</w:t>
      </w:r>
    </w:p>
    <w:p>
      <w:pPr>
        <w:pStyle w:val="ListBullet"/>
      </w:pPr>
      <w:r>
        <w:t>Do not add claims, outcomes, or certainty not present in this master.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