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CTA Update — Change Log</w:t>
            </w:r>
          </w:p>
          <w:p>
            <w:r>
              <w:rPr>
                <w:i/>
                <w:color w:val="E3D9C4"/>
                <w:sz w:val="22"/>
              </w:rPr>
              <w:t>Both Lightning Lesson decks  ·  CANDIDATE  ·  Revised Friday, August 21, 2026 at 7:09 PM CT</w:t>
            </w:r>
          </w:p>
        </w:tc>
      </w:tr>
    </w:tbl>
    <w:p>
      <w:pPr>
        <w:spacing w:after="80"/>
      </w:pPr>
    </w:p>
    <w:p>
      <w:pPr>
        <w:spacing w:after="160"/>
      </w:pPr>
      <w:r>
        <w:rPr>
          <w:b/>
          <w:i w:val="0"/>
          <w:color w:val="B00000"/>
          <w:sz w:val="21"/>
        </w:rPr>
        <w:t>PRODUCTION REVISION STAMP — Revised Friday, August 21, 2026 at 7:09 PM CT</w:t>
      </w:r>
    </w:p>
    <w:p>
      <w:pPr>
        <w:spacing w:after="160"/>
      </w:pPr>
      <w:r>
        <w:rPr>
          <w:b/>
          <w:i w:val="0"/>
          <w:color w:val="000000"/>
          <w:sz w:val="19"/>
        </w:rPr>
        <w:t>The retired paid group workshop is removed from both decks and replaced by two routes: the free September 16 guided read as the primary route, and the Capability Formation Field Kit as the optional private alternative. Neither is presented as required, and neither free lesson is described as incomplete.</w:t>
      </w:r>
    </w:p>
    <w:p>
      <w:pPr>
        <w:spacing w:before="120" w:after="120" w:line="40" w:lineRule="exact"/>
        <w:pBdr>
          <w:bottom w:val="single" w:sz="6" w:space="1" w:color="B8C5D9"/>
        </w:pBdr>
      </w:pPr>
    </w:p>
    <w:p>
      <w:pPr>
        <w:spacing w:before="320" w:after="160"/>
      </w:pPr>
      <w:r>
        <w:rPr>
          <w:b/>
          <w:color w:val="0F2347"/>
          <w:sz w:val="32"/>
        </w:rPr>
        <w:t>September 2 — v3.3.6 to v3.3.7 to v3.3.8 CANDIDATE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736"/>
            <w:shd w:val="clear" w:fill="0F2347"/>
          </w:tcPr>
          <w:p>
            <w:r/>
            <w:r>
              <w:rPr>
                <w:b/>
                <w:color w:val="FFFFFF"/>
                <w:sz w:val="19"/>
              </w:rPr>
              <w:t>Where</w:t>
            </w:r>
          </w:p>
        </w:tc>
        <w:tc>
          <w:tcPr>
            <w:tcW w:type="dxa" w:w="6912"/>
            <w:shd w:val="clear" w:fill="0F2347"/>
          </w:tcPr>
          <w:p>
            <w:r/>
            <w:r>
              <w:rPr>
                <w:b/>
                <w:color w:val="FFFFFF"/>
                <w:sz w:val="19"/>
              </w:rPr>
              <w:t>Change</w:t>
            </w:r>
          </w:p>
        </w:tc>
      </w:tr>
      <w:tr>
        <w:trPr>
          <w:cantSplit w:val="true"/>
        </w:trPr>
        <w:tc>
          <w:tcPr>
            <w:tcW w:type="dxa" w:w="2736"/>
          </w:tcPr>
          <w:p>
            <w:r/>
            <w:r>
              <w:rPr>
                <w:b/>
                <w:sz w:val="19"/>
              </w:rPr>
              <w:t>Method</w:t>
            </w:r>
          </w:p>
        </w:tc>
        <w:tc>
          <w:tcPr>
            <w:tcW w:type="dxa" w:w="6912"/>
          </w:tcPr>
          <w:p>
            <w:r/>
            <w:r>
              <w:rPr>
                <w:sz w:val="19"/>
              </w:rPr>
              <w:t>The v3.3.x lineage has never had a from-scratch generator. Every version in it was produced by opening the prior approved PPTX and rewriting specific slides under script control, and this continues that method: build_deck1_v337.py. Nothing was hand-edited and v3.3.6 was not overwritten.</w:t>
            </w:r>
          </w:p>
        </w:tc>
      </w:tr>
      <w:tr>
        <w:trPr>
          <w:cantSplit w:val="true"/>
        </w:trPr>
        <w:tc>
          <w:tcPr>
            <w:tcW w:type="dxa" w:w="2736"/>
          </w:tcPr>
          <w:p>
            <w:r/>
            <w:r>
              <w:rPr>
                <w:b/>
                <w:sz w:val="19"/>
              </w:rPr>
              <w:t>Slide 12</w:t>
            </w:r>
          </w:p>
        </w:tc>
        <w:tc>
          <w:tcPr>
            <w:tcW w:type="dxa" w:w="6912"/>
          </w:tcPr>
          <w:p>
            <w:r/>
            <w:r>
              <w:rPr>
                <w:sz w:val="19"/>
              </w:rPr>
              <w:t>Speaker note only. The sentence calling the retired workshop an insurance policy against a career mistake is replaced. No slide face change.</w:t>
            </w:r>
          </w:p>
        </w:tc>
      </w:tr>
      <w:tr>
        <w:trPr>
          <w:cantSplit w:val="true"/>
        </w:trPr>
        <w:tc>
          <w:tcPr>
            <w:tcW w:type="dxa" w:w="2736"/>
          </w:tcPr>
          <w:p>
            <w:r/>
            <w:r>
              <w:rPr>
                <w:b/>
                <w:sz w:val="19"/>
              </w:rPr>
              <w:t>Slide 13</w:t>
            </w:r>
          </w:p>
        </w:tc>
        <w:tc>
          <w:tcPr>
            <w:tcW w:type="dxa" w:w="6912"/>
          </w:tcPr>
          <w:p>
            <w:r/>
            <w:r>
              <w:rPr>
                <w:sz w:val="19"/>
              </w:rPr>
              <w:t>Rebuilt. FROM RECOGNITION TO A GUIDED READ. Today's recognition on the left, the September 16 guided read on the right, closing on “September 2 opens the question. September 16 guides the read.” The obsolete paid-workshop comparison is gone.</w:t>
            </w:r>
          </w:p>
        </w:tc>
      </w:tr>
      <w:tr>
        <w:trPr>
          <w:cantSplit w:val="true"/>
        </w:trPr>
        <w:tc>
          <w:tcPr>
            <w:tcW w:type="dxa" w:w="2736"/>
          </w:tcPr>
          <w:p>
            <w:r/>
            <w:r>
              <w:rPr>
                <w:b/>
                <w:sz w:val="19"/>
              </w:rPr>
              <w:t>Slide 14</w:t>
            </w:r>
          </w:p>
        </w:tc>
        <w:tc>
          <w:tcPr>
            <w:tcW w:type="dxa" w:w="6912"/>
          </w:tcPr>
          <w:p>
            <w:r/>
            <w:r>
              <w:rPr>
                <w:sz w:val="19"/>
              </w:rPr>
              <w:t>Rebuilt as the two-route continuation slide. Left, primary: the free session, date, time, a rust REGISTER FREE button and a QR to Maven. Right: the Field Kit, an outlined EXPLORE THE FIELD KIT CTA, the visible temidayoafonja.com/book route and a QR to Gumroad. The September 17 / $500 / limited-to-12 invitation is gone.</w:t>
            </w:r>
          </w:p>
        </w:tc>
      </w:tr>
      <w:tr>
        <w:trPr>
          <w:cantSplit w:val="true"/>
        </w:trPr>
        <w:tc>
          <w:tcPr>
            <w:tcW w:type="dxa" w:w="2736"/>
          </w:tcPr>
          <w:p>
            <w:r/>
            <w:r>
              <w:rPr>
                <w:b/>
                <w:sz w:val="19"/>
              </w:rPr>
              <w:t>Slide 15</w:t>
            </w:r>
          </w:p>
        </w:tc>
        <w:tc>
          <w:tcPr>
            <w:tcW w:type="dxa" w:w="6912"/>
          </w:tcPr>
          <w:p>
            <w:r/>
            <w:r>
              <w:rPr>
                <w:sz w:val="19"/>
              </w:rPr>
              <w:t>Footer line replaced with “Continue live on September 16 or privately with the Field Kit · Links in chat”. Notes carry both prebuilt chat messages. Q&amp;A timing 35:00–45:00 is unchanged.</w:t>
            </w:r>
          </w:p>
        </w:tc>
      </w:tr>
      <w:tr>
        <w:trPr>
          <w:cantSplit w:val="true"/>
        </w:trPr>
        <w:tc>
          <w:tcPr>
            <w:tcW w:type="dxa" w:w="2736"/>
          </w:tcPr>
          <w:p>
            <w:r/>
            <w:r>
              <w:rPr>
                <w:b/>
                <w:sz w:val="19"/>
              </w:rPr>
              <w:t>Hidden references removed</w:t>
            </w:r>
          </w:p>
        </w:tc>
        <w:tc>
          <w:tcPr>
            <w:tcW w:type="dxa" w:w="6912"/>
          </w:tcPr>
          <w:p>
            <w:r/>
            <w:r>
              <w:rPr>
                <w:sz w:val="19"/>
              </w:rPr>
              <w:t>Clearing slide 14's shapes left its hyperlink relationships behind, so the old Maven workshop URL and the retired Substack URL survived as orphaned rels — invisible on the face, still in the file. Both are now purged with the shapes.</w:t>
            </w:r>
          </w:p>
        </w:tc>
      </w:tr>
      <w:tr>
        <w:trPr>
          <w:cantSplit w:val="true"/>
        </w:trPr>
        <w:tc>
          <w:tcPr>
            <w:tcW w:type="dxa" w:w="2736"/>
          </w:tcPr>
          <w:p>
            <w:r/>
            <w:r>
              <w:rPr>
                <w:b/>
                <w:sz w:val="19"/>
              </w:rPr>
              <w:t>v3.3.8 — notes only</w:t>
            </w:r>
          </w:p>
        </w:tc>
        <w:tc>
          <w:tcPr>
            <w:tcW w:type="dxa" w:w="6912"/>
          </w:tcPr>
          <w:p>
            <w:r/>
            <w:r>
              <w:rPr>
                <w:sz w:val="19"/>
              </w:rPr>
              <w:t>Slide 15's note still called the continuation invitation a “paid invitation” in two sentences. Both now read “continuation invitation”. NOTHING ELSE CHANGED: the build asserts that every slide face and every other slide's notes are byte-identical to v3.3.7, and that slide count, hidden state and links are unchanged. The appendix, slide 16, remains hidden — it is excluded from the 15-page export.</w:t>
            </w:r>
          </w:p>
        </w:tc>
      </w:tr>
    </w:tbl>
    <w:p>
      <w:pPr>
        <w:spacing w:after="80"/>
      </w:pPr>
    </w:p>
    <w:p>
      <w:pPr>
        <w:spacing w:before="120" w:after="120" w:line="40" w:lineRule="exact"/>
        <w:pBdr>
          <w:bottom w:val="single" w:sz="6" w:space="1" w:color="B8C5D9"/>
        </w:pBdr>
      </w:pPr>
    </w:p>
    <w:p>
      <w:pPr>
        <w:spacing w:before="320" w:after="160"/>
      </w:pPr>
      <w:r>
        <w:rPr>
          <w:b/>
          <w:color w:val="0F2347"/>
          <w:sz w:val="32"/>
        </w:rPr>
        <w:t>September 16 — v2.0.2 to v2.0.3 CANDIDATE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736"/>
            <w:shd w:val="clear" w:fill="0F2347"/>
          </w:tcPr>
          <w:p>
            <w:r/>
            <w:r>
              <w:rPr>
                <w:b/>
                <w:color w:val="FFFFFF"/>
                <w:sz w:val="19"/>
              </w:rPr>
              <w:t>Where</w:t>
            </w:r>
          </w:p>
        </w:tc>
        <w:tc>
          <w:tcPr>
            <w:tcW w:type="dxa" w:w="6912"/>
            <w:shd w:val="clear" w:fill="0F2347"/>
          </w:tcPr>
          <w:p>
            <w:r/>
            <w:r>
              <w:rPr>
                <w:b/>
                <w:color w:val="FFFFFF"/>
                <w:sz w:val="19"/>
              </w:rPr>
              <w:t>Change</w:t>
            </w:r>
          </w:p>
        </w:tc>
      </w:tr>
      <w:tr>
        <w:trPr>
          <w:cantSplit w:val="true"/>
        </w:trPr>
        <w:tc>
          <w:tcPr>
            <w:tcW w:type="dxa" w:w="2736"/>
          </w:tcPr>
          <w:p>
            <w:r/>
            <w:r>
              <w:rPr>
                <w:b/>
                <w:sz w:val="19"/>
              </w:rPr>
              <w:t>Method</w:t>
            </w:r>
          </w:p>
        </w:tc>
        <w:tc>
          <w:tcPr>
            <w:tcW w:type="dxa" w:w="6912"/>
          </w:tcPr>
          <w:p>
            <w:r/>
            <w:r>
              <w:rPr>
                <w:sz w:val="19"/>
              </w:rPr>
              <w:t>The production generator, forked to build_flagship_v203.js. Only the slide 24 block changed.</w:t>
            </w:r>
          </w:p>
        </w:tc>
      </w:tr>
      <w:tr>
        <w:trPr>
          <w:cantSplit w:val="true"/>
        </w:trPr>
        <w:tc>
          <w:tcPr>
            <w:tcW w:type="dxa" w:w="2736"/>
          </w:tcPr>
          <w:p>
            <w:r/>
            <w:r>
              <w:rPr>
                <w:b/>
                <w:sz w:val="19"/>
              </w:rPr>
              <w:t>Slide 23</w:t>
            </w:r>
          </w:p>
        </w:tc>
        <w:tc>
          <w:tcPr>
            <w:tcW w:type="dxa" w:w="6912"/>
          </w:tcPr>
          <w:p>
            <w:r/>
            <w:r>
              <w:rPr>
                <w:sz w:val="19"/>
              </w:rPr>
              <w:t>Unchanged. It still releases participants who have enough and still carries the Private Capability Position Read as the separate high-touch route.</w:t>
            </w:r>
          </w:p>
        </w:tc>
      </w:tr>
      <w:tr>
        <w:trPr>
          <w:cantSplit w:val="true"/>
        </w:trPr>
        <w:tc>
          <w:tcPr>
            <w:tcW w:type="dxa" w:w="2736"/>
          </w:tcPr>
          <w:p>
            <w:r/>
            <w:r>
              <w:rPr>
                <w:b/>
                <w:sz w:val="19"/>
              </w:rPr>
              <w:t>Slide 24</w:t>
            </w:r>
          </w:p>
        </w:tc>
        <w:tc>
          <w:tcPr>
            <w:tcW w:type="dxa" w:w="6912"/>
          </w:tcPr>
          <w:p>
            <w:r/>
            <w:r>
              <w:rPr>
                <w:sz w:val="19"/>
              </w:rPr>
              <w:t>Replaced, not added. KEEP WORKING PRIVATELY. Today's guided read on the left, explicitly “Complete on its own.”; the Field Kit on the right with the real cover image, a QR, the CTA and the visible temidayoafonja.com/book route, all resolving to Gumroad. The Private Read is not re-pitched here.</w:t>
            </w:r>
          </w:p>
        </w:tc>
      </w:tr>
      <w:tr>
        <w:trPr>
          <w:cantSplit w:val="true"/>
        </w:trPr>
        <w:tc>
          <w:tcPr>
            <w:tcW w:type="dxa" w:w="2736"/>
          </w:tcPr>
          <w:p>
            <w:r/>
            <w:r>
              <w:rPr>
                <w:b/>
                <w:sz w:val="19"/>
              </w:rPr>
              <w:t>Pricing</w:t>
            </w:r>
          </w:p>
        </w:tc>
        <w:tc>
          <w:tcPr>
            <w:tcW w:type="dxa" w:w="6912"/>
          </w:tcPr>
          <w:p>
            <w:r/>
            <w:r>
              <w:rPr>
                <w:sz w:val="19"/>
              </w:rPr>
              <w:t>No price on the slide face. The note instructs the facilitator to verify the current public price and purchase route immediately before delivery and to post them in the live chat; the permanent replay slide stays price-free.</w:t>
            </w:r>
          </w:p>
        </w:tc>
      </w:tr>
      <w:tr>
        <w:trPr>
          <w:cantSplit w:val="true"/>
        </w:trPr>
        <w:tc>
          <w:tcPr>
            <w:tcW w:type="dxa" w:w="2736"/>
          </w:tcPr>
          <w:p>
            <w:r/>
            <w:r>
              <w:rPr>
                <w:b/>
                <w:sz w:val="19"/>
              </w:rPr>
              <w:t>Preserved</w:t>
            </w:r>
          </w:p>
        </w:tc>
        <w:tc>
          <w:tcPr>
            <w:tcW w:type="dxa" w:w="6912"/>
          </w:tcPr>
          <w:p>
            <w:r/>
            <w:r>
              <w:rPr>
                <w:sz w:val="19"/>
              </w:rPr>
              <w:t>Slide 23 at 45:00–46:00, slide 24 at 46:00–47:00, slide 25 as the last recorded slide, recording stop at 50:00, slide 26 as the live-only Q&amp;A, 26 active plus 7 hidden, slides 27–33 hidden, and every recording and privacy boundary.</w:t>
            </w:r>
          </w:p>
        </w:tc>
      </w:tr>
    </w:tbl>
    <w:p>
      <w:pPr>
        <w:spacing w:after="80"/>
      </w:pPr>
    </w:p>
    <w:p>
      <w:pPr>
        <w:spacing w:before="120" w:after="120" w:line="40" w:lineRule="exact"/>
        <w:pBdr>
          <w:bottom w:val="single" w:sz="6" w:space="1" w:color="B8C5D9"/>
        </w:pBdr>
      </w:pPr>
    </w:p>
    <w:p>
      <w:pPr>
        <w:spacing w:before="320" w:after="160"/>
      </w:pPr>
      <w:r>
        <w:rPr>
          <w:b/>
          <w:color w:val="0F2347"/>
          <w:sz w:val="32"/>
        </w:rPr>
        <w:t>Dependent documentation</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736"/>
            <w:shd w:val="clear" w:fill="0F2347"/>
          </w:tcPr>
          <w:p>
            <w:r/>
            <w:r>
              <w:rPr>
                <w:b/>
                <w:color w:val="FFFFFF"/>
                <w:sz w:val="19"/>
              </w:rPr>
              <w:t>Artifact</w:t>
            </w:r>
          </w:p>
        </w:tc>
        <w:tc>
          <w:tcPr>
            <w:tcW w:type="dxa" w:w="6912"/>
            <w:shd w:val="clear" w:fill="0F2347"/>
          </w:tcPr>
          <w:p>
            <w:r/>
            <w:r>
              <w:rPr>
                <w:b/>
                <w:color w:val="FFFFFF"/>
                <w:sz w:val="19"/>
              </w:rPr>
              <w:t>Change</w:t>
            </w:r>
          </w:p>
        </w:tc>
      </w:tr>
      <w:tr>
        <w:trPr>
          <w:cantSplit w:val="true"/>
        </w:trPr>
        <w:tc>
          <w:tcPr>
            <w:tcW w:type="dxa" w:w="2736"/>
          </w:tcPr>
          <w:p>
            <w:r/>
            <w:r>
              <w:rPr>
                <w:b/>
                <w:sz w:val="19"/>
              </w:rPr>
              <w:t>SOP v2.0.5</w:t>
            </w:r>
          </w:p>
        </w:tc>
        <w:tc>
          <w:tcPr>
            <w:tcW w:type="dxa" w:w="6912"/>
          </w:tcPr>
          <w:p>
            <w:r/>
            <w:r>
              <w:rPr>
                <w:sz w:val="19"/>
              </w:rPr>
              <w:t>The commercial rule no longer says both price figures live in speaker notes. It now reads: no fixed pricing on any recorded slide face or as a durable figure in speaker notes; verify the current public price and purchase route immediately before delivery; state or post only verified current information live. Section 12 now separates LIVE external assets — the Maven page, the September 2 attendee email, the Field Kit and its Gumroad route, current website copy — from genuinely unbuilt work. The source map names deck v2.0.3, workbook v2.0.1, SOP v2.0.5, Architecture v1.1 read-only, and records the owner-run Acrobat pass.</w:t>
            </w:r>
          </w:p>
        </w:tc>
      </w:tr>
      <w:tr>
        <w:trPr>
          <w:cantSplit w:val="true"/>
        </w:trPr>
        <w:tc>
          <w:tcPr>
            <w:tcW w:type="dxa" w:w="2736"/>
          </w:tcPr>
          <w:p>
            <w:r/>
            <w:r>
              <w:rPr>
                <w:b/>
                <w:sz w:val="19"/>
              </w:rPr>
              <w:t>QA report v2.0.5</w:t>
            </w:r>
          </w:p>
        </w:tc>
        <w:tc>
          <w:tcPr>
            <w:tcW w:type="dxa" w:w="6912"/>
          </w:tcPr>
          <w:p>
            <w:r/>
            <w:r>
              <w:rPr>
                <w:sz w:val="19"/>
              </w:rPr>
              <w:t>Every stale assertion corrected: the deck is identified as v2.0.3, the SOP-only claim is gone, the pricing row asserts the new rule, the gate row records the Acrobat pass, the source-map rows name the current artifacts, and the Visual QA section states that libreoffice-impress is installed and a real office-suite render was performed. The preview is named PREVIEW_Presentation_60MIN_v2.0.3_LibreOffice.pdf. No claim survives that Impress was absent, that no application render happened, or that the preview was only a geometry reconstruction. Rows read 1 through 121 in document order.</w:t>
            </w:r>
          </w:p>
        </w:tc>
      </w:tr>
      <w:tr>
        <w:trPr>
          <w:cantSplit w:val="true"/>
        </w:trPr>
        <w:tc>
          <w:tcPr>
            <w:tcW w:type="dxa" w:w="2736"/>
          </w:tcPr>
          <w:p>
            <w:r/>
            <w:r>
              <w:rPr>
                <w:b/>
                <w:sz w:val="19"/>
              </w:rPr>
              <w:t>Workbook</w:t>
            </w:r>
          </w:p>
        </w:tc>
        <w:tc>
          <w:tcPr>
            <w:tcW w:type="dxa" w:w="6912"/>
          </w:tcPr>
          <w:p>
            <w:r/>
            <w:r>
              <w:rPr>
                <w:sz w:val="19"/>
              </w:rPr>
              <w:t>UNTOUCHED at v2.0.1 and byte-identical. Not regenerated. The owner-run Adobe Acrobat Reader behaviour test PASSED on August 21, 2026 and remains valid, because the file it was run against has not changed.</w:t>
            </w:r>
          </w:p>
        </w:tc>
      </w:tr>
    </w:tbl>
    <w:p>
      <w:pPr>
        <w:spacing w:after="80"/>
      </w:pPr>
    </w:p>
    <w:p>
      <w:pPr>
        <w:spacing w:before="120" w:after="120" w:line="40" w:lineRule="exact"/>
        <w:pBdr>
          <w:bottom w:val="single" w:sz="6" w:space="1" w:color="B8C5D9"/>
        </w:pBdr>
      </w:pPr>
    </w:p>
    <w:p>
      <w:pPr>
        <w:spacing w:before="320" w:after="160"/>
      </w:pPr>
      <w:r>
        <w:rPr>
          <w:b/>
          <w:color w:val="0F2347"/>
          <w:sz w:val="32"/>
        </w:rPr>
        <w:t>Validation</w:t>
      </w:r>
    </w:p>
    <w:p>
      <w:pPr>
        <w:pStyle w:val="ListBullet"/>
        <w:spacing w:after="60"/>
      </w:pPr>
      <w:r>
        <w:rPr>
          <w:color w:val="000000"/>
          <w:sz w:val="19"/>
        </w:rPr>
        <w:t>Both decks exported through LibreOffice Impress and every changed slide inspected. September 2 exports 15 pages, September 16 exports 26 — hidden slides excluded in both, as expected.</w:t>
      </w:r>
    </w:p>
    <w:p>
      <w:pPr>
        <w:pStyle w:val="ListBullet"/>
        <w:spacing w:after="60"/>
      </w:pPr>
      <w:r>
        <w:rPr>
          <w:color w:val="000000"/>
          <w:sz w:val="19"/>
        </w:rPr>
        <w:t>46 of 46 CTA checks pass, including a banned-string sweep over every slide face AND every speaker note for September 17, the former price, the participant cap, the retired enrollment CTA, the old Maven workshop URL and the retired newsletter CTA.</w:t>
      </w:r>
    </w:p>
    <w:p>
      <w:pPr>
        <w:pStyle w:val="ListBullet"/>
        <w:spacing w:after="60"/>
      </w:pPr>
      <w:r>
        <w:rPr>
          <w:color w:val="000000"/>
          <w:sz w:val="19"/>
        </w:rPr>
        <w:t>121 of 121 September 16 cross-document checks pass.</w:t>
      </w:r>
    </w:p>
    <w:p>
      <w:pPr>
        <w:pStyle w:val="ListBullet"/>
        <w:spacing w:after="60"/>
      </w:pPr>
      <w:r>
        <w:rPr>
          <w:color w:val="000000"/>
          <w:sz w:val="19"/>
        </w:rPr>
        <w:t>Both QR codes were decoded from the rendered PNG and match their target URLs exactly.</w:t>
      </w:r>
    </w:p>
    <w:p>
      <w:pPr>
        <w:pStyle w:val="ListBullet"/>
        <w:spacing w:after="60"/>
      </w:pPr>
      <w:r>
        <w:rPr>
          <w:color w:val="000000"/>
          <w:sz w:val="19"/>
        </w:rPr>
        <w:t>Slide overflow test passes on the September 16 deck with no collision.</w:t>
      </w:r>
    </w:p>
    <w:p>
      <w:pPr>
        <w:spacing w:after="160"/>
      </w:pPr>
      <w:r>
        <w:rPr>
          <w:b w:val="0"/>
          <w:i/>
          <w:color w:val="555555"/>
          <w:sz w:val="18"/>
        </w:rPr>
        <w:t>TWO THINGS FOUND AND FIXED DURING VALIDATION, worth recording because neither was visible on a slide face: the orphaned hyperlink relationships described above, and run-level hyperlinks on the September 2 CTAs rendering as underlined link-blue because the theme hyperlink colour overrides an explicit run colour. The links are now attached to the shapes, which keeps brand colour and stays clickable.</w:t>
      </w:r>
    </w:p>
    <w:p>
      <w:pPr>
        <w:spacing w:before="120" w:after="120" w:line="40" w:lineRule="exact"/>
        <w:pBdr>
          <w:bottom w:val="single" w:sz="6" w:space="1" w:color="B8C5D9"/>
        </w:pBdr>
      </w:pPr>
    </w:p>
    <w:p>
      <w:pPr>
        <w:spacing w:before="320" w:after="160"/>
      </w:pPr>
      <w:r>
        <w:rPr>
          <w:b/>
          <w:color w:val="0F2347"/>
          <w:sz w:val="32"/>
        </w:rPr>
        <w:t>Files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736"/>
            <w:shd w:val="clear" w:fill="0F2347"/>
          </w:tcPr>
          <w:p>
            <w:r/>
            <w:r>
              <w:rPr>
                <w:b/>
                <w:color w:val="FFFFFF"/>
                <w:sz w:val="19"/>
              </w:rPr>
              <w:t>Item</w:t>
            </w:r>
          </w:p>
        </w:tc>
        <w:tc>
          <w:tcPr>
            <w:tcW w:type="dxa" w:w="6912"/>
            <w:shd w:val="clear" w:fill="0F2347"/>
          </w:tcPr>
          <w:p>
            <w:r/>
            <w:r>
              <w:rPr>
                <w:b/>
                <w:color w:val="FFFFFF"/>
                <w:sz w:val="19"/>
              </w:rPr>
              <w:t>Detail</w:t>
            </w:r>
          </w:p>
        </w:tc>
      </w:tr>
      <w:tr>
        <w:trPr>
          <w:cantSplit w:val="true"/>
        </w:trPr>
        <w:tc>
          <w:tcPr>
            <w:tcW w:type="dxa" w:w="2736"/>
          </w:tcPr>
          <w:p>
            <w:r/>
            <w:r>
              <w:rPr>
                <w:b/>
                <w:sz w:val="19"/>
              </w:rPr>
              <w:t>Sept 2 deck v3.3.8</w:t>
            </w:r>
          </w:p>
        </w:tc>
        <w:tc>
          <w:tcPr>
            <w:tcW w:type="dxa" w:w="6912"/>
          </w:tcPr>
          <w:p>
            <w:r/>
            <w:r>
              <w:rPr>
                <w:sz w:val="19"/>
              </w:rPr>
              <w:t>SHA-256 9a7549263294534fa219c98de2c769d95ad07faed60816c390b46aef393a43fc</w:t>
            </w:r>
          </w:p>
        </w:tc>
      </w:tr>
      <w:tr>
        <w:trPr>
          <w:cantSplit w:val="true"/>
        </w:trPr>
        <w:tc>
          <w:tcPr>
            <w:tcW w:type="dxa" w:w="2736"/>
          </w:tcPr>
          <w:p>
            <w:r/>
            <w:r>
              <w:rPr>
                <w:b/>
                <w:sz w:val="19"/>
              </w:rPr>
              <w:t>Sept 16 deck v2.0.3 — unchanged from this delivery</w:t>
            </w:r>
          </w:p>
        </w:tc>
        <w:tc>
          <w:tcPr>
            <w:tcW w:type="dxa" w:w="6912"/>
          </w:tcPr>
          <w:p>
            <w:r/>
            <w:r>
              <w:rPr>
                <w:sz w:val="19"/>
              </w:rPr>
              <w:t>SHA-256 f8145183be813d54655ad4e0439454c59ad5554b090858947fdafdaad54c84f8</w:t>
            </w:r>
          </w:p>
        </w:tc>
      </w:tr>
      <w:tr>
        <w:trPr>
          <w:cantSplit w:val="true"/>
        </w:trPr>
        <w:tc>
          <w:tcPr>
            <w:tcW w:type="dxa" w:w="2736"/>
          </w:tcPr>
          <w:p>
            <w:r/>
            <w:r>
              <w:rPr>
                <w:b/>
                <w:sz w:val="19"/>
              </w:rPr>
              <w:t>Workbook v2.0.1 — unchanged</w:t>
            </w:r>
          </w:p>
        </w:tc>
        <w:tc>
          <w:tcPr>
            <w:tcW w:type="dxa" w:w="6912"/>
          </w:tcPr>
          <w:p>
            <w:r/>
            <w:r>
              <w:rPr>
                <w:sz w:val="19"/>
              </w:rPr>
              <w:t>SHA-256 2bd2912846a679837e8e6bfb4aadff2bb07ee5959d35502ca1c5b5c728efa3ee</w:t>
            </w:r>
          </w:p>
        </w:tc>
      </w:tr>
      <w:tr>
        <w:trPr>
          <w:cantSplit w:val="true"/>
        </w:trPr>
        <w:tc>
          <w:tcPr>
            <w:tcW w:type="dxa" w:w="2736"/>
          </w:tcPr>
          <w:p>
            <w:r/>
            <w:r>
              <w:rPr>
                <w:b/>
                <w:sz w:val="19"/>
              </w:rPr>
              <w:t>SOP v2.0.5</w:t>
            </w:r>
          </w:p>
        </w:tc>
        <w:tc>
          <w:tcPr>
            <w:tcW w:type="dxa" w:w="6912"/>
          </w:tcPr>
          <w:p>
            <w:r/>
            <w:r>
              <w:rPr>
                <w:sz w:val="19"/>
              </w:rPr>
              <w:t>SHA-256 b02c0ec148d93a7dc47d711906c7506ecd9911fe96eb06fd90dca90535d3187c</w:t>
            </w:r>
          </w:p>
        </w:tc>
      </w:tr>
      <w:tr>
        <w:trPr>
          <w:cantSplit w:val="true"/>
        </w:trPr>
        <w:tc>
          <w:tcPr>
            <w:tcW w:type="dxa" w:w="2736"/>
          </w:tcPr>
          <w:p>
            <w:r/>
            <w:r>
              <w:rPr>
                <w:b/>
                <w:sz w:val="19"/>
              </w:rPr>
              <w:t>QA report v2.0.5</w:t>
            </w:r>
          </w:p>
        </w:tc>
        <w:tc>
          <w:tcPr>
            <w:tcW w:type="dxa" w:w="6912"/>
          </w:tcPr>
          <w:p>
            <w:r/>
            <w:r>
              <w:rPr>
                <w:sz w:val="19"/>
              </w:rPr>
              <w:t>SHA-256 3ab23e313dfc011d8e38199f4792eb186add878b3fa0f9bcbbebce6309ca889d</w:t>
            </w:r>
          </w:p>
        </w:tc>
      </w:tr>
      <w:tr>
        <w:trPr>
          <w:cantSplit w:val="true"/>
        </w:trPr>
        <w:tc>
          <w:tcPr>
            <w:tcW w:type="dxa" w:w="2736"/>
          </w:tcPr>
          <w:p>
            <w:r/>
            <w:r>
              <w:rPr>
                <w:b/>
                <w:sz w:val="19"/>
              </w:rPr>
              <w:t>Maven link</w:t>
            </w:r>
          </w:p>
        </w:tc>
        <w:tc>
          <w:tcPr>
            <w:tcW w:type="dxa" w:w="6912"/>
          </w:tcPr>
          <w:p>
            <w:r/>
            <w:r>
              <w:rPr>
                <w:sz w:val="19"/>
              </w:rPr>
              <w:t>https://maven.com/p/8b3c40/stay-or-leave-live-career-growth-assessment</w:t>
            </w:r>
          </w:p>
        </w:tc>
      </w:tr>
      <w:tr>
        <w:trPr>
          <w:cantSplit w:val="true"/>
        </w:trPr>
        <w:tc>
          <w:tcPr>
            <w:tcW w:type="dxa" w:w="2736"/>
          </w:tcPr>
          <w:p>
            <w:r/>
            <w:r>
              <w:rPr>
                <w:b/>
                <w:sz w:val="19"/>
              </w:rPr>
              <w:t>Field Kit purchase route</w:t>
            </w:r>
          </w:p>
        </w:tc>
        <w:tc>
          <w:tcPr>
            <w:tcW w:type="dxa" w:w="6912"/>
          </w:tcPr>
          <w:p>
            <w:r/>
            <w:r>
              <w:rPr>
                <w:sz w:val="19"/>
              </w:rPr>
              <w:t>https://temidayoafonja.gumroad.com/l/czmqp</w:t>
            </w:r>
          </w:p>
        </w:tc>
      </w:tr>
      <w:tr>
        <w:trPr>
          <w:cantSplit w:val="true"/>
        </w:trPr>
        <w:tc>
          <w:tcPr>
            <w:tcW w:type="dxa" w:w="2736"/>
          </w:tcPr>
          <w:p>
            <w:r/>
            <w:r>
              <w:rPr>
                <w:b/>
                <w:sz w:val="19"/>
              </w:rPr>
              <w:t>Field Kit visible route</w:t>
            </w:r>
          </w:p>
        </w:tc>
        <w:tc>
          <w:tcPr>
            <w:tcW w:type="dxa" w:w="6912"/>
          </w:tcPr>
          <w:p>
            <w:r/>
            <w:r>
              <w:rPr>
                <w:sz w:val="19"/>
              </w:rPr>
              <w:t>temidayoafonja.com/book</w:t>
            </w:r>
          </w:p>
        </w:tc>
      </w:tr>
    </w:tbl>
    <w:p>
      <w:pPr>
        <w:spacing w:after="80"/>
      </w:pPr>
    </w:p>
    <w:p>
      <w:pPr>
        <w:spacing w:before="120" w:after="120" w:line="40" w:lineRule="exact"/>
        <w:pBdr>
          <w:bottom w:val="single" w:sz="6" w:space="1" w:color="B8C5D9"/>
        </w:pBdr>
      </w:pPr>
    </w:p>
    <w:p>
      <w:pPr>
        <w:spacing w:before="320" w:after="160"/>
      </w:pPr>
      <w:r>
        <w:rPr>
          <w:b/>
          <w:color w:val="0F2347"/>
          <w:sz w:val="32"/>
        </w:rPr>
        <w:t>Gate status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4896"/>
            <w:shd w:val="clear" w:fill="0F2347"/>
          </w:tcPr>
          <w:p>
            <w:r/>
            <w:r>
              <w:rPr>
                <w:b/>
                <w:color w:val="FFFFFF"/>
                <w:sz w:val="19"/>
              </w:rPr>
              <w:t>Gate</w:t>
            </w:r>
          </w:p>
        </w:tc>
        <w:tc>
          <w:tcPr>
            <w:tcW w:type="dxa" w:w="4752"/>
            <w:shd w:val="clear" w:fill="0F2347"/>
          </w:tcPr>
          <w:p>
            <w:r/>
            <w:r>
              <w:rPr>
                <w:b/>
                <w:color w:val="FFFFFF"/>
                <w:sz w:val="19"/>
              </w:rPr>
              <w:t>Status</w:t>
            </w:r>
          </w:p>
        </w:tc>
      </w:tr>
      <w:tr>
        <w:trPr>
          <w:cantSplit w:val="true"/>
        </w:trPr>
        <w:tc>
          <w:tcPr>
            <w:tcW w:type="dxa" w:w="4896"/>
          </w:tcPr>
          <w:p>
            <w:r/>
            <w:r>
              <w:rPr>
                <w:b/>
                <w:sz w:val="19"/>
              </w:rPr>
              <w:t>Rehearsal 1 — timed content</w:t>
            </w:r>
          </w:p>
        </w:tc>
        <w:tc>
          <w:tcPr>
            <w:tcW w:type="dxa" w:w="4752"/>
          </w:tcPr>
          <w:p>
            <w:r/>
            <w:r>
              <w:rPr>
                <w:sz w:val="19"/>
              </w:rPr>
              <w:t>OUTSTANDING</w:t>
            </w:r>
          </w:p>
        </w:tc>
      </w:tr>
      <w:tr>
        <w:trPr>
          <w:cantSplit w:val="true"/>
        </w:trPr>
        <w:tc>
          <w:tcPr>
            <w:tcW w:type="dxa" w:w="4896"/>
          </w:tcPr>
          <w:p>
            <w:r/>
            <w:r>
              <w:rPr>
                <w:b/>
                <w:sz w:val="19"/>
              </w:rPr>
              <w:t>Rehearsal 2 — production</w:t>
            </w:r>
          </w:p>
        </w:tc>
        <w:tc>
          <w:tcPr>
            <w:tcW w:type="dxa" w:w="4752"/>
          </w:tcPr>
          <w:p>
            <w:r/>
            <w:r>
              <w:rPr>
                <w:sz w:val="19"/>
              </w:rPr>
              <w:t>OUTSTANDING</w:t>
            </w:r>
          </w:p>
        </w:tc>
      </w:tr>
      <w:tr>
        <w:trPr>
          <w:cantSplit w:val="true"/>
        </w:trPr>
        <w:tc>
          <w:tcPr>
            <w:tcW w:type="dxa" w:w="4896"/>
          </w:tcPr>
          <w:p>
            <w:r/>
            <w:r>
              <w:rPr>
                <w:b/>
                <w:sz w:val="19"/>
              </w:rPr>
              <w:t>Workbook behaviour test, Adobe Acrobat Reader</w:t>
            </w:r>
          </w:p>
        </w:tc>
        <w:tc>
          <w:tcPr>
            <w:tcW w:type="dxa" w:w="4752"/>
          </w:tcPr>
          <w:p>
            <w:r/>
            <w:r>
              <w:rPr>
                <w:sz w:val="19"/>
              </w:rPr>
              <w:t>PASSED — owner-run, August 21, 2026</w:t>
            </w:r>
          </w:p>
        </w:tc>
      </w:tr>
    </w:tbl>
    <w:p>
      <w:pPr>
        <w:spacing w:after="80"/>
      </w:pPr>
    </w:p>
    <w:p>
      <w:pPr>
        <w:spacing w:after="160"/>
      </w:pPr>
      <w:r>
        <w:rPr>
          <w:b/>
          <w:i w:val="0"/>
          <w:color w:val="B00000"/>
          <w:sz w:val="19"/>
        </w:rPr>
        <w:t>ALL ARTIFACTS REMAIN CANDIDATE. Two gates remain, so nothing is promoted. v3.3.6, v3.3.7 and the v2.0.2 deck were not overwritten; all remain in place.</w:t>
      </w:r>
    </w:p>
    <w:p>
      <w:pPr>
        <w:spacing w:before="120" w:after="120" w:line="40" w:lineRule="exact"/>
        <w:pBdr>
          <w:bottom w:val="single" w:sz="6" w:space="1" w:color="B8C5D9"/>
        </w:pBdr>
      </w:pPr>
    </w:p>
    <w:p>
      <w:pPr>
        <w:spacing w:after="0"/>
      </w:pPr>
      <w:r>
        <w:rPr>
          <w:b w:val="0"/>
          <w:i/>
          <w:color w:val="555555"/>
          <w:sz w:val="16"/>
        </w:rPr>
        <w:t>CTA UPDATE — CHANGE LOG  ·  INTERNAL ONLY  ·  Revised Friday, August 21, 2026 at 7:09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