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AI Took the Task. Who Gets the Experience?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V4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V26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AI Took the Task. Who Gets the Experience?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WHO LEARNS NOW?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826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5:42 to 6:21.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numbers in the first column are sequence positions, not times. This script carries no timing markers.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who gets the experience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TENSION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02 inefficient and developmental, 03 what the work taught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AN ANTI-AI ARGUMENT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04 the real question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THREE THINGS TO WATCH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05 three things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06 moved or removed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FOR MANAGERS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07 what did it teach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FOR PROFESSIONALS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57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08 still practicing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BOUNDARY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09 not one outcome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WHY THIS MATTERS LATER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AN AUDIT FOR YOUR ROLE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 three columns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CLOSE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 task is not the job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WATCH NEXT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A6D1E"/>
          <w:sz w:val="20"/>
        </w:rPr>
        <w:t xml:space="preserve">Balance  </w:t>
      </w:r>
      <w:r>
        <w:rPr>
          <w:sz w:val="21"/>
        </w:rPr>
        <w:t>17 camera stretches against 11 full-screen cues. 746 of 826 spoken words are delivered on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RECORDING AND EDITING INTENT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teaching beat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spoken Watch Next wording is the script's own and was not changed. The destination is How to Prove Your Value When AI Does More of the Task.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p>
      <w:pPr>
        <w:spacing w:after="80" w:line="278" w:lineRule="auto"/>
        <w:ind w:left="547" w:hanging="230"/>
      </w:pPr>
      <w:r>
        <w:rPr>
          <w:sz w:val="21"/>
        </w:rPr>
        <w:t>•   Whether the intended Watch Next destination is publicly live on launch day. That is confirmed before upload.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