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Decode a Job Description in 10 Minutes</w:t>
      </w:r>
    </w:p>
    <w:p>
      <w:pPr>
        <w:spacing w:before="0" w:after="280"/>
      </w:pPr>
      <w:r>
        <w:rPr>
          <w:b w:val="0"/>
          <w:i w:val="0"/>
          <w:color w:val="5A6B82"/>
          <w:sz w:val="20"/>
        </w:rPr>
        <w:t>Claim-boundary notes</w:t>
      </w:r>
    </w:p>
    <w:p>
      <w:pPr>
        <w:spacing w:before="0" w:after="240"/>
        <w:pBdr>
          <w:bottom w:val="single" w:sz="6" w:color="8A6D1E"/>
        </w:pBdr>
      </w:pPr>
    </w:p>
    <w:p>
      <w:pPr>
        <w:spacing w:after="80"/>
      </w:pPr>
      <w:r>
        <w:rPr>
          <w:b/>
          <w:color w:val="8A6D1E"/>
          <w:sz w:val="20"/>
        </w:rPr>
        <w:t xml:space="preserve">New public number  </w:t>
      </w:r>
      <w:r>
        <w:rPr>
          <w:sz w:val="21"/>
        </w:rPr>
        <w:t>V6</w:t>
      </w:r>
    </w:p>
    <w:p>
      <w:pPr>
        <w:spacing w:after="80"/>
      </w:pPr>
      <w:r>
        <w:rPr>
          <w:b/>
          <w:color w:val="8A6D1E"/>
          <w:sz w:val="20"/>
        </w:rPr>
        <w:t xml:space="preserve">Former roadmap number  </w:t>
      </w:r>
      <w:r>
        <w:rPr>
          <w:sz w:val="21"/>
        </w:rPr>
        <w:t>V22</w:t>
      </w:r>
    </w:p>
    <w:p>
      <w:pPr>
        <w:spacing w:after="80"/>
      </w:pPr>
      <w:r>
        <w:rPr>
          <w:b/>
          <w:color w:val="8A6D1E"/>
          <w:sz w:val="20"/>
        </w:rPr>
        <w:t xml:space="preserve">Generated  </w:t>
      </w:r>
      <w:r>
        <w:rPr>
          <w:sz w:val="21"/>
        </w:rPr>
        <w:t>Sunday, September 13, 2026 | 8:00 PM CT</w:t>
      </w:r>
    </w:p>
    <w:p>
      <w:pPr>
        <w:spacing w:before="0" w:after="160"/>
      </w:pPr>
      <w:r>
        <w:rPr>
          <w:b w:val="0"/>
          <w:i w:val="0"/>
          <w:sz w:val="22"/>
        </w:rPr>
        <w:t>Each row is a boundary the video keeps and where the package keeps it. A boundary is not a disclaimer to be cut for pace: in every one of these videos it is part of the teaching.</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016"/>
            <w:shd w:val="clear" w:color="auto" w:fill="F3EFE6"/>
          </w:tcPr>
          <w:p>
            <w:pPr>
              <w:spacing w:before="60" w:after="60" w:line="264" w:lineRule="auto"/>
            </w:pPr>
            <w:r/>
            <w:r>
              <w:rPr>
                <w:b/>
                <w:i w:val="0"/>
                <w:color w:val="112345"/>
                <w:sz w:val="17"/>
              </w:rPr>
              <w:t>THE BOUNDARY</w:t>
            </w:r>
          </w:p>
        </w:tc>
        <w:tc>
          <w:tcPr>
            <w:tcW w:type="dxa" w:w="3312"/>
            <w:shd w:val="clear" w:color="auto" w:fill="F3EFE6"/>
          </w:tcPr>
          <w:p>
            <w:pPr>
              <w:spacing w:before="60" w:after="60" w:line="264" w:lineRule="auto"/>
            </w:pPr>
            <w:r/>
            <w:r>
              <w:rPr>
                <w:b/>
                <w:i w:val="0"/>
                <w:color w:val="112345"/>
                <w:sz w:val="17"/>
              </w:rPr>
              <w:t>WHAT THE SCRIPT SAYS</w:t>
            </w:r>
          </w:p>
        </w:tc>
        <w:tc>
          <w:tcPr>
            <w:tcW w:type="dxa" w:w="4320"/>
            <w:shd w:val="clear" w:color="auto" w:fill="F3EFE6"/>
          </w:tcPr>
          <w:p>
            <w:pPr>
              <w:spacing w:before="60" w:after="60" w:line="264" w:lineRule="auto"/>
            </w:pPr>
            <w:r/>
            <w:r>
              <w:rPr>
                <w:b/>
                <w:i w:val="0"/>
                <w:color w:val="112345"/>
                <w:sz w:val="17"/>
              </w:rPr>
              <w:t>WHERE THE PACKAGE KEEPS IT</w:t>
            </w:r>
          </w:p>
        </w:tc>
      </w:tr>
      <w:tr>
        <w:tc>
          <w:tcPr>
            <w:tcW w:type="dxa" w:w="2016"/>
          </w:tcPr>
          <w:p>
            <w:pPr>
              <w:spacing w:before="60" w:after="60" w:line="264" w:lineRule="auto"/>
            </w:pPr>
            <w:r/>
            <w:r>
              <w:rPr>
                <w:b w:val="0"/>
                <w:i w:val="0"/>
                <w:sz w:val="16"/>
              </w:rPr>
              <w:t>The sample</w:t>
            </w:r>
          </w:p>
        </w:tc>
        <w:tc>
          <w:tcPr>
            <w:tcW w:type="dxa" w:w="3312"/>
          </w:tcPr>
          <w:p>
            <w:pPr>
              <w:spacing w:before="60" w:after="60" w:line="264" w:lineRule="auto"/>
            </w:pPr>
            <w:r/>
            <w:r>
              <w:rPr>
                <w:b w:val="0"/>
                <w:i w:val="0"/>
                <w:sz w:val="16"/>
              </w:rPr>
              <w:t>15 postings from 11 employers, read for this research.</w:t>
            </w:r>
          </w:p>
        </w:tc>
        <w:tc>
          <w:tcPr>
            <w:tcW w:type="dxa" w:w="4320"/>
          </w:tcPr>
          <w:p>
            <w:pPr>
              <w:spacing w:before="60" w:after="60" w:line="264" w:lineRule="auto"/>
            </w:pPr>
            <w:r/>
            <w:r>
              <w:rPr>
                <w:b w:val="0"/>
                <w:i w:val="0"/>
                <w:sz w:val="16"/>
              </w:rPr>
              <w:t>Never representative of the labor market, never a claim that titles are meaningless or never matter.</w:t>
            </w:r>
          </w:p>
        </w:tc>
      </w:tr>
      <w:tr>
        <w:tc>
          <w:tcPr>
            <w:tcW w:type="dxa" w:w="2016"/>
          </w:tcPr>
          <w:p>
            <w:pPr>
              <w:spacing w:before="60" w:after="60" w:line="264" w:lineRule="auto"/>
            </w:pPr>
            <w:r/>
            <w:r>
              <w:rPr>
                <w:b w:val="0"/>
                <w:i w:val="0"/>
                <w:sz w:val="16"/>
              </w:rPr>
              <w:t>The ceiling claim</w:t>
            </w:r>
          </w:p>
        </w:tc>
        <w:tc>
          <w:tcPr>
            <w:tcW w:type="dxa" w:w="3312"/>
          </w:tcPr>
          <w:p>
            <w:pPr>
              <w:spacing w:before="60" w:after="60" w:line="264" w:lineRule="auto"/>
            </w:pPr>
            <w:r/>
            <w:r>
              <w:rPr>
                <w:b w:val="0"/>
                <w:i w:val="0"/>
                <w:sz w:val="16"/>
              </w:rPr>
              <w:t>Highest published ceiling in the sample.</w:t>
            </w:r>
          </w:p>
        </w:tc>
        <w:tc>
          <w:tcPr>
            <w:tcW w:type="dxa" w:w="4320"/>
          </w:tcPr>
          <w:p>
            <w:pPr>
              <w:spacing w:before="60" w:after="60" w:line="264" w:lineRule="auto"/>
            </w:pPr>
            <w:r/>
            <w:r>
              <w:rPr>
                <w:b w:val="0"/>
                <w:i w:val="0"/>
                <w:sz w:val="16"/>
              </w:rPr>
              <w:t>Never highest in the market. The words stay on screen with the figure.</w:t>
            </w:r>
          </w:p>
        </w:tc>
      </w:tr>
      <w:tr>
        <w:tc>
          <w:tcPr>
            <w:tcW w:type="dxa" w:w="2016"/>
          </w:tcPr>
          <w:p>
            <w:pPr>
              <w:spacing w:before="60" w:after="60" w:line="264" w:lineRule="auto"/>
            </w:pPr>
            <w:r/>
            <w:r>
              <w:rPr>
                <w:b w:val="0"/>
                <w:i w:val="0"/>
                <w:sz w:val="16"/>
              </w:rPr>
              <w:t>Bounded decisions</w:t>
            </w:r>
          </w:p>
        </w:tc>
        <w:tc>
          <w:tcPr>
            <w:tcW w:type="dxa" w:w="3312"/>
          </w:tcPr>
          <w:p>
            <w:pPr>
              <w:spacing w:before="60" w:after="60" w:line="264" w:lineRule="auto"/>
            </w:pPr>
            <w:r/>
            <w:r>
              <w:rPr>
                <w:b w:val="0"/>
                <w:i w:val="0"/>
                <w:sz w:val="16"/>
              </w:rPr>
              <w:t>A senior role described in bounded-decision language.</w:t>
            </w:r>
          </w:p>
        </w:tc>
        <w:tc>
          <w:tcPr>
            <w:tcW w:type="dxa" w:w="4320"/>
          </w:tcPr>
          <w:p>
            <w:pPr>
              <w:spacing w:before="60" w:after="60" w:line="264" w:lineRule="auto"/>
            </w:pPr>
            <w:r/>
            <w:r>
              <w:rPr>
                <w:b w:val="0"/>
                <w:i w:val="0"/>
                <w:sz w:val="16"/>
              </w:rPr>
              <w:t>The posting establishes predefined decisions. It does not establish who created them, and nothing says otherwise. The defense of the role stays in.</w:t>
            </w:r>
          </w:p>
        </w:tc>
      </w:tr>
      <w:tr>
        <w:tc>
          <w:tcPr>
            <w:tcW w:type="dxa" w:w="2016"/>
          </w:tcPr>
          <w:p>
            <w:pPr>
              <w:spacing w:before="60" w:after="60" w:line="264" w:lineRule="auto"/>
            </w:pPr>
            <w:r/>
            <w:r>
              <w:rPr>
                <w:b w:val="0"/>
                <w:i w:val="0"/>
                <w:sz w:val="16"/>
              </w:rPr>
              <w:t>The real gap</w:t>
            </w:r>
          </w:p>
        </w:tc>
        <w:tc>
          <w:tcPr>
            <w:tcW w:type="dxa" w:w="3312"/>
          </w:tcPr>
          <w:p>
            <w:pPr>
              <w:spacing w:before="60" w:after="60" w:line="264" w:lineRule="auto"/>
            </w:pPr>
            <w:r/>
            <w:r>
              <w:rPr>
                <w:b w:val="0"/>
                <w:i w:val="0"/>
                <w:sz w:val="16"/>
              </w:rPr>
              <w:t>A real gap is not always a skill gap.</w:t>
            </w:r>
          </w:p>
        </w:tc>
        <w:tc>
          <w:tcPr>
            <w:tcW w:type="dxa" w:w="4320"/>
          </w:tcPr>
          <w:p>
            <w:pPr>
              <w:spacing w:before="60" w:after="60" w:line="264" w:lineRule="auto"/>
            </w:pPr>
            <w:r/>
            <w:r>
              <w:rPr>
                <w:b w:val="0"/>
                <w:i w:val="0"/>
                <w:sz w:val="16"/>
              </w:rPr>
              <w:t>The geographic boundary and the three-hour overlap are both stated in one posting. No local meeting time is stated or implied.</w:t>
            </w:r>
          </w:p>
        </w:tc>
      </w:tr>
      <w:tr>
        <w:tc>
          <w:tcPr>
            <w:tcW w:type="dxa" w:w="2016"/>
          </w:tcPr>
          <w:p>
            <w:pPr>
              <w:spacing w:before="60" w:after="60" w:line="264" w:lineRule="auto"/>
            </w:pPr>
            <w:r/>
            <w:r>
              <w:rPr>
                <w:b w:val="0"/>
                <w:i w:val="0"/>
                <w:sz w:val="16"/>
              </w:rPr>
              <w:t>What the method does</w:t>
            </w:r>
          </w:p>
        </w:tc>
        <w:tc>
          <w:tcPr>
            <w:tcW w:type="dxa" w:w="3312"/>
          </w:tcPr>
          <w:p>
            <w:pPr>
              <w:spacing w:before="60" w:after="60" w:line="264" w:lineRule="auto"/>
            </w:pPr>
            <w:r/>
            <w:r>
              <w:rPr>
                <w:b w:val="0"/>
                <w:i w:val="0"/>
                <w:sz w:val="16"/>
              </w:rPr>
              <w:t>It gives you a cleaner read.</w:t>
            </w:r>
          </w:p>
        </w:tc>
        <w:tc>
          <w:tcPr>
            <w:tcW w:type="dxa" w:w="4320"/>
          </w:tcPr>
          <w:p>
            <w:pPr>
              <w:spacing w:before="60" w:after="60" w:line="264" w:lineRule="auto"/>
            </w:pPr>
            <w:r/>
            <w:r>
              <w:rPr>
                <w:b w:val="0"/>
                <w:i w:val="0"/>
                <w:sz w:val="16"/>
              </w:rPr>
              <w:t>Reading better does not guarantee a better outcome. That sentence is not cut, softened or moved.</w:t>
            </w:r>
          </w:p>
        </w:tc>
      </w:tr>
      <w:tr>
        <w:tc>
          <w:tcPr>
            <w:tcW w:type="dxa" w:w="2016"/>
          </w:tcPr>
          <w:p>
            <w:pPr>
              <w:spacing w:before="60" w:after="60" w:line="264" w:lineRule="auto"/>
            </w:pPr>
            <w:r/>
            <w:r>
              <w:rPr>
                <w:b w:val="0"/>
                <w:i w:val="0"/>
                <w:sz w:val="16"/>
              </w:rPr>
              <w:t>The ten-minute promise</w:t>
            </w:r>
          </w:p>
        </w:tc>
        <w:tc>
          <w:tcPr>
            <w:tcW w:type="dxa" w:w="3312"/>
          </w:tcPr>
          <w:p>
            <w:pPr>
              <w:spacing w:before="60" w:after="60" w:line="264" w:lineRule="auto"/>
            </w:pPr>
            <w:r/>
            <w:r>
              <w:rPr>
                <w:b w:val="0"/>
                <w:i w:val="0"/>
                <w:sz w:val="16"/>
              </w:rPr>
              <w:t>The promise stays real.</w:t>
            </w:r>
          </w:p>
        </w:tc>
        <w:tc>
          <w:tcPr>
            <w:tcW w:type="dxa" w:w="4320"/>
          </w:tcPr>
          <w:p>
            <w:pPr>
              <w:spacing w:before="60" w:after="60" w:line="264" w:lineRule="auto"/>
            </w:pPr>
            <w:r/>
            <w:r>
              <w:rPr>
                <w:b w:val="0"/>
                <w:i w:val="0"/>
                <w:sz w:val="16"/>
              </w:rPr>
              <w:t>No spoken material was added, the script was not expanded, no editor narration was introduced, and there is no second spoken CTA.</w:t>
            </w:r>
          </w:p>
        </w:tc>
      </w:tr>
    </w:tbl>
    <w:p>
      <w:pPr>
        <w:spacing w:after="120"/>
      </w:pPr>
    </w:p>
    <w:p>
      <w:pPr>
        <w:spacing w:before="320" w:after="120"/>
        <w:keepNext w:val="1"/>
        <w:keepLines w:val="1"/>
      </w:pPr>
      <w:r>
        <w:rPr>
          <w:b/>
          <w:i w:val="0"/>
          <w:color w:val="112345"/>
          <w:sz w:val="26"/>
        </w:rPr>
        <w:t>RESEARCH AND EVIDENCE IN THIS VIDEO</w:t>
      </w:r>
    </w:p>
    <w:p>
      <w:pPr>
        <w:spacing w:before="0" w:after="160"/>
      </w:pPr>
      <w:r>
        <w:rPr>
          <w:b w:val="0"/>
          <w:i w:val="0"/>
          <w:sz w:val="21"/>
        </w:rPr>
        <w:t>This video carries the researched posting corpus: 15 postings from 11 employers, captured September 12, 2026, preserved in the Internal Source Capture Packet. Employers are named on camera as the packet requires. Every posting card is built from preserved text, never from a page reopened later.</w:t>
      </w:r>
    </w:p>
    <w:p>
      <w:pPr>
        <w:spacing w:before="320" w:after="120"/>
        <w:keepNext w:val="1"/>
        <w:keepLines w:val="1"/>
      </w:pPr>
      <w:r>
        <w:rPr>
          <w:b/>
          <w:i w:val="0"/>
          <w:color w:val="112345"/>
          <w:sz w:val="26"/>
        </w:rPr>
        <w:t>NEVER, IN ANY SPRINT VIDEO</w:t>
      </w:r>
    </w:p>
    <w:p>
      <w:pPr>
        <w:spacing w:after="80" w:line="278" w:lineRule="auto"/>
        <w:ind w:left="547" w:hanging="230"/>
      </w:pPr>
      <w:r>
        <w:rPr>
          <w:sz w:val="21"/>
        </w:rPr>
        <w:t>•   No invented research, employer behavior, personal experience or outcome.</w:t>
      </w:r>
    </w:p>
    <w:p>
      <w:pPr>
        <w:spacing w:after="80" w:line="278" w:lineRule="auto"/>
        <w:ind w:left="547" w:hanging="230"/>
      </w:pPr>
      <w:r>
        <w:rPr>
          <w:sz w:val="21"/>
        </w:rPr>
        <w:t>•   No invented runtime, public URL, upload date, thumbnail result, retention figure or music license.</w:t>
      </w:r>
    </w:p>
    <w:p>
      <w:pPr>
        <w:spacing w:after="80" w:line="278" w:lineRule="auto"/>
        <w:ind w:left="547" w:hanging="230"/>
      </w:pPr>
      <w:r>
        <w:rPr>
          <w:sz w:val="21"/>
        </w:rPr>
        <w:t>•   No chapters and no SRT timing before the final edit.</w:t>
      </w:r>
    </w:p>
    <w:p>
      <w:pPr>
        <w:spacing w:after="80" w:line="278" w:lineRule="auto"/>
        <w:ind w:left="547" w:hanging="230"/>
      </w:pPr>
      <w:r>
        <w:rPr>
          <w:sz w:val="21"/>
        </w:rPr>
        <w:t>•   No recruiter tips, resume hacks, workplace outrage, generic career advice, AI-tool tutorial or job-loss prediction.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The public promise: help experienced professionals make career pivots and internal moves without starting over.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