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Sprint production changelog</w:t>
      </w:r>
    </w:p>
    <w:p>
      <w:pPr>
        <w:spacing w:before="0" w:after="280"/>
      </w:pPr>
      <w:r>
        <w:rPr>
          <w:b w:val="0"/>
          <w:i w:val="0"/>
          <w:color w:val="5A6B82"/>
          <w:sz w:val="20"/>
        </w:rPr>
        <w:t>What was built, from what, and what was flagged</w:t>
      </w:r>
    </w:p>
    <w:p>
      <w:pPr>
        <w:spacing w:before="0" w:after="240"/>
        <w:pBdr>
          <w:bottom w:val="single" w:sz="6" w:color="8A6D1E"/>
        </w:pBdr>
      </w:pPr>
    </w:p>
    <w:p>
      <w:pPr>
        <w:spacing w:after="80"/>
      </w:pPr>
      <w:r>
        <w:rPr>
          <w:b/>
          <w:color w:val="8A6D1E"/>
          <w:sz w:val="20"/>
        </w:rPr>
        <w:t xml:space="preserve">Generated  </w:t>
      </w:r>
      <w:r>
        <w:rPr>
          <w:sz w:val="21"/>
        </w:rPr>
        <w:t>Sunday, September 13, 2026 | 8:00 PM CT</w:t>
      </w:r>
    </w:p>
    <w:p>
      <w:pPr>
        <w:spacing w:before="200" w:after="200"/>
        <w:ind w:left="216"/>
        <w:pBdr>
          <w:left w:val="single" w:sz="18" w:color="9B2C10" w:space="8"/>
        </w:pBdr>
        <w:keepNext w:val="1"/>
        <w:keepLines w:val="1"/>
      </w:pPr>
      <w:r>
        <w:rPr>
          <w:b/>
          <w:color w:val="9B2C10"/>
          <w:sz w:val="21"/>
        </w:rPr>
        <w:t>No spoken wording was changed in any of the six scripts. The supplied Thought-Block copies were not rewritten, shortened or regenerated: each was verified against its script and copied into the package unchanged.</w:t>
      </w:r>
    </w:p>
    <w:p>
      <w:pPr>
        <w:spacing w:before="320" w:after="120"/>
        <w:keepNext w:val="1"/>
        <w:keepLines w:val="1"/>
      </w:pPr>
      <w:r>
        <w:rPr>
          <w:b/>
          <w:i w:val="0"/>
          <w:color w:val="112345"/>
          <w:sz w:val="26"/>
        </w:rPr>
        <w:t>WHAT WAS BUILT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2448"/>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FAMILIES</w:t>
            </w:r>
          </w:p>
        </w:tc>
        <w:tc>
          <w:tcPr>
            <w:tcW w:type="dxa" w:w="1008"/>
            <w:shd w:val="clear" w:color="auto" w:fill="F3EFE6"/>
          </w:tcPr>
          <w:p>
            <w:pPr>
              <w:spacing w:before="60" w:after="60" w:line="264" w:lineRule="auto"/>
            </w:pPr>
            <w:r/>
            <w:r>
              <w:rPr>
                <w:b/>
                <w:i w:val="0"/>
                <w:color w:val="112345"/>
                <w:sz w:val="17"/>
              </w:rPr>
              <w:t>STATES</w:t>
            </w:r>
          </w:p>
        </w:tc>
        <w:tc>
          <w:tcPr>
            <w:tcW w:type="dxa" w:w="1872"/>
            <w:shd w:val="clear" w:color="auto" w:fill="F3EFE6"/>
          </w:tcPr>
          <w:p>
            <w:pPr>
              <w:spacing w:before="60" w:after="60" w:line="264" w:lineRule="auto"/>
            </w:pPr>
            <w:r/>
            <w:r>
              <w:rPr>
                <w:b/>
                <w:i w:val="0"/>
                <w:color w:val="112345"/>
                <w:sz w:val="17"/>
              </w:rPr>
              <w:t>CAMERA STRETCHES</w:t>
            </w:r>
          </w:p>
        </w:tc>
        <w:tc>
          <w:tcPr>
            <w:tcW w:type="dxa" w:w="1728"/>
            <w:shd w:val="clear" w:color="auto" w:fill="F3EFE6"/>
          </w:tcPr>
          <w:p>
            <w:pPr>
              <w:spacing w:before="60" w:after="60" w:line="264" w:lineRule="auto"/>
            </w:pPr>
            <w:r/>
            <w:r>
              <w:rPr>
                <w:b/>
                <w:i w:val="0"/>
                <w:color w:val="112345"/>
                <w:sz w:val="17"/>
              </w:rPr>
              <w:t>FULL-SCREEN CUES</w:t>
            </w:r>
          </w:p>
        </w:tc>
        <w:tc>
          <w:tcPr>
            <w:tcW w:type="dxa" w:w="1008"/>
            <w:shd w:val="clear" w:color="auto" w:fill="F3EFE6"/>
          </w:tcPr>
          <w:p>
            <w:pPr>
              <w:spacing w:before="60" w:after="60" w:line="264" w:lineRule="auto"/>
            </w:pPr>
            <w:r/>
            <w:r>
              <w:rPr>
                <w:b/>
                <w:i w:val="0"/>
                <w:color w:val="112345"/>
                <w:sz w:val="17"/>
              </w:rPr>
              <w:t>SHORTS</w:t>
            </w:r>
          </w:p>
        </w:tc>
      </w:tr>
      <w:tr>
        <w:tc>
          <w:tcPr>
            <w:tcW w:type="dxa" w:w="2448"/>
          </w:tcPr>
          <w:p>
            <w:pPr>
              <w:spacing w:before="60" w:after="60" w:line="264" w:lineRule="auto"/>
            </w:pPr>
            <w:r/>
            <w:r>
              <w:rPr>
                <w:b w:val="0"/>
                <w:i w:val="0"/>
                <w:sz w:val="16"/>
              </w:rPr>
              <w:t>NEW V4 (former V26)</w:t>
            </w:r>
          </w:p>
        </w:tc>
        <w:tc>
          <w:tcPr>
            <w:tcW w:type="dxa" w:w="1152"/>
          </w:tcPr>
          <w:p>
            <w:pPr>
              <w:spacing w:before="60" w:after="60" w:line="264" w:lineRule="auto"/>
            </w:pPr>
            <w:r/>
            <w:r>
              <w:rPr>
                <w:b w:val="0"/>
                <w:i w:val="0"/>
                <w:sz w:val="16"/>
              </w:rPr>
              <w:t>12</w:t>
            </w:r>
          </w:p>
        </w:tc>
        <w:tc>
          <w:tcPr>
            <w:tcW w:type="dxa" w:w="1008"/>
          </w:tcPr>
          <w:p>
            <w:pPr>
              <w:spacing w:before="60" w:after="60" w:line="264" w:lineRule="auto"/>
            </w:pPr>
            <w:r/>
            <w:r>
              <w:rPr>
                <w:b w:val="0"/>
                <w:i w:val="0"/>
                <w:sz w:val="16"/>
              </w:rPr>
              <w:t>15</w:t>
            </w:r>
          </w:p>
        </w:tc>
        <w:tc>
          <w:tcPr>
            <w:tcW w:type="dxa" w:w="1872"/>
          </w:tcPr>
          <w:p>
            <w:pPr>
              <w:spacing w:before="60" w:after="60" w:line="264" w:lineRule="auto"/>
            </w:pPr>
            <w:r/>
            <w:r>
              <w:rPr>
                <w:b w:val="0"/>
                <w:i w:val="0"/>
                <w:sz w:val="16"/>
              </w:rPr>
              <w:t>17</w:t>
            </w:r>
          </w:p>
        </w:tc>
        <w:tc>
          <w:tcPr>
            <w:tcW w:type="dxa" w:w="1728"/>
          </w:tcPr>
          <w:p>
            <w:pPr>
              <w:spacing w:before="60" w:after="60" w:line="264" w:lineRule="auto"/>
            </w:pPr>
            <w:r/>
            <w:r>
              <w:rPr>
                <w:b w:val="0"/>
                <w:i w:val="0"/>
                <w:sz w:val="16"/>
              </w:rPr>
              <w:t>11</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V5 (former V33)</w:t>
            </w:r>
          </w:p>
        </w:tc>
        <w:tc>
          <w:tcPr>
            <w:tcW w:type="dxa" w:w="1152"/>
          </w:tcPr>
          <w:p>
            <w:pPr>
              <w:spacing w:before="60" w:after="60" w:line="264" w:lineRule="auto"/>
            </w:pPr>
            <w:r/>
            <w:r>
              <w:rPr>
                <w:b w:val="0"/>
                <w:i w:val="0"/>
                <w:sz w:val="16"/>
              </w:rPr>
              <w:t>11</w:t>
            </w:r>
          </w:p>
        </w:tc>
        <w:tc>
          <w:tcPr>
            <w:tcW w:type="dxa" w:w="1008"/>
          </w:tcPr>
          <w:p>
            <w:pPr>
              <w:spacing w:before="60" w:after="60" w:line="264" w:lineRule="auto"/>
            </w:pPr>
            <w:r/>
            <w:r>
              <w:rPr>
                <w:b w:val="0"/>
                <w:i w:val="0"/>
                <w:sz w:val="16"/>
              </w:rPr>
              <w:t>11</w:t>
            </w:r>
          </w:p>
        </w:tc>
        <w:tc>
          <w:tcPr>
            <w:tcW w:type="dxa" w:w="1872"/>
          </w:tcPr>
          <w:p>
            <w:pPr>
              <w:spacing w:before="60" w:after="60" w:line="264" w:lineRule="auto"/>
            </w:pPr>
            <w:r/>
            <w:r>
              <w:rPr>
                <w:b w:val="0"/>
                <w:i w:val="0"/>
                <w:sz w:val="16"/>
              </w:rPr>
              <w:t>17</w:t>
            </w:r>
          </w:p>
        </w:tc>
        <w:tc>
          <w:tcPr>
            <w:tcW w:type="dxa" w:w="1728"/>
          </w:tcPr>
          <w:p>
            <w:pPr>
              <w:spacing w:before="60" w:after="60" w:line="264" w:lineRule="auto"/>
            </w:pPr>
            <w:r/>
            <w:r>
              <w:rPr>
                <w:b w:val="0"/>
                <w:i w:val="0"/>
                <w:sz w:val="16"/>
              </w:rPr>
              <w:t>10</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V6 (former V22)</w:t>
            </w:r>
          </w:p>
        </w:tc>
        <w:tc>
          <w:tcPr>
            <w:tcW w:type="dxa" w:w="1152"/>
          </w:tcPr>
          <w:p>
            <w:pPr>
              <w:spacing w:before="60" w:after="60" w:line="264" w:lineRule="auto"/>
            </w:pPr>
            <w:r/>
            <w:r>
              <w:rPr>
                <w:b w:val="0"/>
                <w:i w:val="0"/>
                <w:sz w:val="16"/>
              </w:rPr>
              <w:t>19</w:t>
            </w:r>
          </w:p>
        </w:tc>
        <w:tc>
          <w:tcPr>
            <w:tcW w:type="dxa" w:w="1008"/>
          </w:tcPr>
          <w:p>
            <w:pPr>
              <w:spacing w:before="60" w:after="60" w:line="264" w:lineRule="auto"/>
            </w:pPr>
            <w:r/>
            <w:r>
              <w:rPr>
                <w:b w:val="0"/>
                <w:i w:val="0"/>
                <w:sz w:val="16"/>
              </w:rPr>
              <w:t>37</w:t>
            </w:r>
          </w:p>
        </w:tc>
        <w:tc>
          <w:tcPr>
            <w:tcW w:type="dxa" w:w="1872"/>
          </w:tcPr>
          <w:p>
            <w:pPr>
              <w:spacing w:before="60" w:after="60" w:line="264" w:lineRule="auto"/>
            </w:pPr>
            <w:r/>
            <w:r>
              <w:rPr>
                <w:b w:val="0"/>
                <w:i w:val="0"/>
                <w:sz w:val="16"/>
              </w:rPr>
              <w:t>23</w:t>
            </w:r>
          </w:p>
        </w:tc>
        <w:tc>
          <w:tcPr>
            <w:tcW w:type="dxa" w:w="1728"/>
          </w:tcPr>
          <w:p>
            <w:pPr>
              <w:spacing w:before="60" w:after="60" w:line="264" w:lineRule="auto"/>
            </w:pPr>
            <w:r/>
            <w:r>
              <w:rPr>
                <w:b w:val="0"/>
                <w:i w:val="0"/>
                <w:sz w:val="16"/>
              </w:rPr>
              <w:t>18</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V7 (former V24)</w:t>
            </w:r>
          </w:p>
        </w:tc>
        <w:tc>
          <w:tcPr>
            <w:tcW w:type="dxa" w:w="1152"/>
          </w:tcPr>
          <w:p>
            <w:pPr>
              <w:spacing w:before="60" w:after="60" w:line="264" w:lineRule="auto"/>
            </w:pPr>
            <w:r/>
            <w:r>
              <w:rPr>
                <w:b w:val="0"/>
                <w:i w:val="0"/>
                <w:sz w:val="16"/>
              </w:rPr>
              <w:t>14</w:t>
            </w:r>
          </w:p>
        </w:tc>
        <w:tc>
          <w:tcPr>
            <w:tcW w:type="dxa" w:w="1008"/>
          </w:tcPr>
          <w:p>
            <w:pPr>
              <w:spacing w:before="60" w:after="60" w:line="264" w:lineRule="auto"/>
            </w:pPr>
            <w:r/>
            <w:r>
              <w:rPr>
                <w:b w:val="0"/>
                <w:i w:val="0"/>
                <w:sz w:val="16"/>
              </w:rPr>
              <w:t>18</w:t>
            </w:r>
          </w:p>
        </w:tc>
        <w:tc>
          <w:tcPr>
            <w:tcW w:type="dxa" w:w="1872"/>
          </w:tcPr>
          <w:p>
            <w:pPr>
              <w:spacing w:before="60" w:after="60" w:line="264" w:lineRule="auto"/>
            </w:pPr>
            <w:r/>
            <w:r>
              <w:rPr>
                <w:b w:val="0"/>
                <w:i w:val="0"/>
                <w:sz w:val="16"/>
              </w:rPr>
              <w:t>21</w:t>
            </w:r>
          </w:p>
        </w:tc>
        <w:tc>
          <w:tcPr>
            <w:tcW w:type="dxa" w:w="1728"/>
          </w:tcPr>
          <w:p>
            <w:pPr>
              <w:spacing w:before="60" w:after="60" w:line="264" w:lineRule="auto"/>
            </w:pPr>
            <w:r/>
            <w:r>
              <w:rPr>
                <w:b w:val="0"/>
                <w:i w:val="0"/>
                <w:sz w:val="16"/>
              </w:rPr>
              <w:t>13</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V8 (former V28)</w:t>
            </w:r>
          </w:p>
        </w:tc>
        <w:tc>
          <w:tcPr>
            <w:tcW w:type="dxa" w:w="1152"/>
          </w:tcPr>
          <w:p>
            <w:pPr>
              <w:spacing w:before="60" w:after="60" w:line="264" w:lineRule="auto"/>
            </w:pPr>
            <w:r/>
            <w:r>
              <w:rPr>
                <w:b w:val="0"/>
                <w:i w:val="0"/>
                <w:sz w:val="16"/>
              </w:rPr>
              <w:t>13</w:t>
            </w:r>
          </w:p>
        </w:tc>
        <w:tc>
          <w:tcPr>
            <w:tcW w:type="dxa" w:w="1008"/>
          </w:tcPr>
          <w:p>
            <w:pPr>
              <w:spacing w:before="60" w:after="60" w:line="264" w:lineRule="auto"/>
            </w:pPr>
            <w:r/>
            <w:r>
              <w:rPr>
                <w:b w:val="0"/>
                <w:i w:val="0"/>
                <w:sz w:val="16"/>
              </w:rPr>
              <w:t>18</w:t>
            </w:r>
          </w:p>
        </w:tc>
        <w:tc>
          <w:tcPr>
            <w:tcW w:type="dxa" w:w="1872"/>
          </w:tcPr>
          <w:p>
            <w:pPr>
              <w:spacing w:before="60" w:after="60" w:line="264" w:lineRule="auto"/>
            </w:pPr>
            <w:r/>
            <w:r>
              <w:rPr>
                <w:b w:val="0"/>
                <w:i w:val="0"/>
                <w:sz w:val="16"/>
              </w:rPr>
              <w:t>21</w:t>
            </w:r>
          </w:p>
        </w:tc>
        <w:tc>
          <w:tcPr>
            <w:tcW w:type="dxa" w:w="1728"/>
          </w:tcPr>
          <w:p>
            <w:pPr>
              <w:spacing w:before="60" w:after="60" w:line="264" w:lineRule="auto"/>
            </w:pPr>
            <w:r/>
            <w:r>
              <w:rPr>
                <w:b w:val="0"/>
                <w:i w:val="0"/>
                <w:sz w:val="16"/>
              </w:rPr>
              <w:t>12</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V9 (former V27)</w:t>
            </w:r>
          </w:p>
        </w:tc>
        <w:tc>
          <w:tcPr>
            <w:tcW w:type="dxa" w:w="1152"/>
          </w:tcPr>
          <w:p>
            <w:pPr>
              <w:spacing w:before="60" w:after="60" w:line="264" w:lineRule="auto"/>
            </w:pPr>
            <w:r/>
            <w:r>
              <w:rPr>
                <w:b w:val="0"/>
                <w:i w:val="0"/>
                <w:sz w:val="16"/>
              </w:rPr>
              <w:t>13</w:t>
            </w:r>
          </w:p>
        </w:tc>
        <w:tc>
          <w:tcPr>
            <w:tcW w:type="dxa" w:w="1008"/>
          </w:tcPr>
          <w:p>
            <w:pPr>
              <w:spacing w:before="60" w:after="60" w:line="264" w:lineRule="auto"/>
            </w:pPr>
            <w:r/>
            <w:r>
              <w:rPr>
                <w:b w:val="0"/>
                <w:i w:val="0"/>
                <w:sz w:val="16"/>
              </w:rPr>
              <w:t>17</w:t>
            </w:r>
          </w:p>
        </w:tc>
        <w:tc>
          <w:tcPr>
            <w:tcW w:type="dxa" w:w="1872"/>
          </w:tcPr>
          <w:p>
            <w:pPr>
              <w:spacing w:before="60" w:after="60" w:line="264" w:lineRule="auto"/>
            </w:pPr>
            <w:r/>
            <w:r>
              <w:rPr>
                <w:b w:val="0"/>
                <w:i w:val="0"/>
                <w:sz w:val="16"/>
              </w:rPr>
              <w:t>21</w:t>
            </w:r>
          </w:p>
        </w:tc>
        <w:tc>
          <w:tcPr>
            <w:tcW w:type="dxa" w:w="1728"/>
          </w:tcPr>
          <w:p>
            <w:pPr>
              <w:spacing w:before="60" w:after="60" w:line="264" w:lineRule="auto"/>
            </w:pPr>
            <w:r/>
            <w:r>
              <w:rPr>
                <w:b w:val="0"/>
                <w:i w:val="0"/>
                <w:sz w:val="16"/>
              </w:rPr>
              <w:t>12</w:t>
            </w:r>
          </w:p>
        </w:tc>
        <w:tc>
          <w:tcPr>
            <w:tcW w:type="dxa" w:w="1008"/>
          </w:tcPr>
          <w:p>
            <w:pPr>
              <w:spacing w:before="60" w:after="60" w:line="264" w:lineRule="auto"/>
            </w:pPr>
            <w:r/>
            <w:r>
              <w:rPr>
                <w:b w:val="0"/>
                <w:i w:val="0"/>
                <w:sz w:val="16"/>
              </w:rPr>
              <w:t>3</w:t>
            </w:r>
          </w:p>
        </w:tc>
      </w:tr>
    </w:tbl>
    <w:p>
      <w:pPr>
        <w:spacing w:after="120"/>
      </w:pPr>
    </w:p>
    <w:p>
      <w:pPr>
        <w:spacing w:before="320" w:after="120"/>
        <w:keepNext w:val="1"/>
        <w:keepLines w:val="1"/>
      </w:pPr>
      <w:r>
        <w:rPr>
          <w:b/>
          <w:i w:val="0"/>
          <w:color w:val="112345"/>
          <w:sz w:val="26"/>
        </w:rPr>
        <w:t>NEW V6, FORMER ROADMAP V22</w:t>
      </w:r>
    </w:p>
    <w:p>
      <w:pPr>
        <w:spacing w:before="0" w:after="160"/>
      </w:pPr>
      <w:r>
        <w:rPr>
          <w:b w:val="0"/>
          <w:i w:val="0"/>
          <w:sz w:val="21"/>
        </w:rPr>
        <w:t>The former V22 had substantial production work in a prior package. Eighteen of NEW V6's nineteen card families are carried over from it, and each was verified byte for byte against the file the locked V22 package shipped rather than assumed. The one new family is the Watch Next end card, which the sprint script adds a spoken line for and the former V22 did not have.</w:t>
      </w:r>
    </w:p>
    <w:p>
      <w:pPr>
        <w:spacing w:before="120" w:after="160"/>
      </w:pPr>
      <w:r>
        <w:rPr>
          <w:b w:val="0"/>
          <w:i w:val="0"/>
          <w:sz w:val="21"/>
        </w:rPr>
        <w:t>The sprint script was not pushed backward to fit an older asset. Where the sprint script differs, the sprint script controls, and no card was kept because it already existed.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3744"/>
            <w:shd w:val="clear" w:color="auto" w:fill="F3EFE6"/>
          </w:tcPr>
          <w:p>
            <w:pPr>
              <w:spacing w:before="60" w:after="60" w:line="264" w:lineRule="auto"/>
            </w:pPr>
            <w:r/>
            <w:r>
              <w:rPr>
                <w:b/>
                <w:i w:val="0"/>
                <w:color w:val="112345"/>
                <w:sz w:val="17"/>
              </w:rPr>
              <w:t>REUSED FAMILY</w:t>
            </w:r>
          </w:p>
        </w:tc>
        <w:tc>
          <w:tcPr>
            <w:tcW w:type="dxa" w:w="5904"/>
            <w:shd w:val="clear" w:color="auto" w:fill="F3EFE6"/>
          </w:tcPr>
          <w:p>
            <w:pPr>
              <w:spacing w:before="60" w:after="60" w:line="264" w:lineRule="auto"/>
            </w:pPr>
            <w:r/>
            <w:r>
              <w:rPr>
                <w:b/>
                <w:i w:val="0"/>
                <w:color w:val="112345"/>
                <w:sz w:val="17"/>
              </w:rPr>
              <w:t>VERIFIED</w:t>
            </w:r>
          </w:p>
        </w:tc>
      </w:tr>
      <w:tr>
        <w:tc>
          <w:tcPr>
            <w:tcW w:type="dxa" w:w="3744"/>
          </w:tcPr>
          <w:p>
            <w:pPr>
              <w:spacing w:before="60" w:after="60" w:line="264" w:lineRule="auto"/>
            </w:pPr>
            <w:r/>
            <w:r>
              <w:rPr>
                <w:b w:val="0"/>
                <w:i w:val="0"/>
                <w:sz w:val="15"/>
              </w:rPr>
              <w:t>NEW_V6_FS_01_TITLE_ONLY</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NEW_V6_FS_02_THE_CONTRADICTION</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NEW_V6_FS_03_THE_SAMPLE</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NEW_V6_FS_05_PARP</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NEW_V6_FS_04_THREE_QUESTIONS</w:t>
            </w:r>
          </w:p>
        </w:tc>
        <w:tc>
          <w:tcPr>
            <w:tcW w:type="dxa" w:w="5904"/>
          </w:tcPr>
          <w:p>
            <w:pPr>
              <w:spacing w:before="60" w:after="60" w:line="264" w:lineRule="auto"/>
            </w:pPr>
            <w:r/>
            <w:r>
              <w:rPr>
                <w:b w:val="0"/>
                <w:i w:val="0"/>
                <w:sz w:val="15"/>
              </w:rPr>
              <w:t>all 3 states byte-identical to the former V22 package</w:t>
            </w:r>
          </w:p>
        </w:tc>
      </w:tr>
      <w:tr>
        <w:tc>
          <w:tcPr>
            <w:tcW w:type="dxa" w:w="3744"/>
          </w:tcPr>
          <w:p>
            <w:pPr>
              <w:spacing w:before="60" w:after="60" w:line="264" w:lineRule="auto"/>
            </w:pPr>
            <w:r/>
            <w:r>
              <w:rPr>
                <w:b w:val="0"/>
                <w:i w:val="0"/>
                <w:sz w:val="15"/>
              </w:rPr>
              <w:t>NEW_V6_FS_06_HCSC_WALKTHROUGH</w:t>
            </w:r>
          </w:p>
        </w:tc>
        <w:tc>
          <w:tcPr>
            <w:tcW w:type="dxa" w:w="5904"/>
          </w:tcPr>
          <w:p>
            <w:pPr>
              <w:spacing w:before="60" w:after="60" w:line="264" w:lineRule="auto"/>
            </w:pPr>
            <w:r/>
            <w:r>
              <w:rPr>
                <w:b w:val="0"/>
                <w:i w:val="0"/>
                <w:sz w:val="15"/>
              </w:rPr>
              <w:t>all 3 states byte-identical to the former V22 package</w:t>
            </w:r>
          </w:p>
        </w:tc>
      </w:tr>
      <w:tr>
        <w:tc>
          <w:tcPr>
            <w:tcW w:type="dxa" w:w="3744"/>
          </w:tcPr>
          <w:p>
            <w:pPr>
              <w:spacing w:before="60" w:after="60" w:line="264" w:lineRule="auto"/>
            </w:pPr>
            <w:r/>
            <w:r>
              <w:rPr>
                <w:b w:val="0"/>
                <w:i w:val="0"/>
                <w:sz w:val="15"/>
              </w:rPr>
              <w:t>NEW_V6_FS_08_READ_THE_VERBS</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NEW_V6_FS_09_PREDEFINED_DECISIONS</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NEW_V6_FS_17_REAL_GAP</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NEW_V6_FS_10_DIRECTOR_COMPARE</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NEW_V6_FS_12_TITLE_TEST</w:t>
            </w:r>
          </w:p>
        </w:tc>
        <w:tc>
          <w:tcPr>
            <w:tcW w:type="dxa" w:w="5904"/>
          </w:tcPr>
          <w:p>
            <w:pPr>
              <w:spacing w:before="60" w:after="60" w:line="264" w:lineRule="auto"/>
            </w:pPr>
            <w:r/>
            <w:r>
              <w:rPr>
                <w:b w:val="0"/>
                <w:i w:val="0"/>
                <w:sz w:val="15"/>
              </w:rPr>
              <w:t>all 4 states byte-identical to the former V22 package</w:t>
            </w:r>
          </w:p>
        </w:tc>
      </w:tr>
      <w:tr>
        <w:tc>
          <w:tcPr>
            <w:tcW w:type="dxa" w:w="3744"/>
          </w:tcPr>
          <w:p>
            <w:pPr>
              <w:spacing w:before="60" w:after="60" w:line="264" w:lineRule="auto"/>
            </w:pPr>
            <w:r/>
            <w:r>
              <w:rPr>
                <w:b w:val="0"/>
                <w:i w:val="0"/>
                <w:sz w:val="15"/>
              </w:rPr>
              <w:t>NEW_V6_FS_13_ACRONYM_WALL</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NEW_V6_FS_14_AUTHORITY_POSTURES</w:t>
            </w:r>
          </w:p>
        </w:tc>
        <w:tc>
          <w:tcPr>
            <w:tcW w:type="dxa" w:w="5904"/>
          </w:tcPr>
          <w:p>
            <w:pPr>
              <w:spacing w:before="60" w:after="60" w:line="264" w:lineRule="auto"/>
            </w:pPr>
            <w:r/>
            <w:r>
              <w:rPr>
                <w:b w:val="0"/>
                <w:i w:val="0"/>
                <w:sz w:val="15"/>
              </w:rPr>
              <w:t>all 5 states byte-identical to the former V22 package</w:t>
            </w:r>
          </w:p>
        </w:tc>
      </w:tr>
      <w:tr>
        <w:tc>
          <w:tcPr>
            <w:tcW w:type="dxa" w:w="3744"/>
          </w:tcPr>
          <w:p>
            <w:pPr>
              <w:spacing w:before="60" w:after="60" w:line="264" w:lineRule="auto"/>
            </w:pPr>
            <w:r/>
            <w:r>
              <w:rPr>
                <w:b w:val="0"/>
                <w:i w:val="0"/>
                <w:sz w:val="15"/>
              </w:rPr>
              <w:t>NEW_V6_FS_15_CEILING</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NEW_V6_FS_16_READ_THE_WORK</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NEW_V6_FS_18_WHAT_IT_WILL_NOT_DO</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NEW_V6_FS_19_FOUR_THINGS</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NEW_V6_FS_20_CTA</w:t>
            </w:r>
          </w:p>
        </w:tc>
        <w:tc>
          <w:tcPr>
            <w:tcW w:type="dxa" w:w="5904"/>
          </w:tcPr>
          <w:p>
            <w:pPr>
              <w:spacing w:before="60" w:after="60" w:line="264" w:lineRule="auto"/>
            </w:pPr>
            <w:r/>
            <w:r>
              <w:rPr>
                <w:b w:val="0"/>
                <w:i w:val="0"/>
                <w:sz w:val="15"/>
              </w:rPr>
              <w:t>all 2 states byte-identical to the former V22 package</w:t>
            </w:r>
          </w:p>
        </w:tc>
      </w:tr>
    </w:tbl>
    <w:p>
      <w:pPr>
        <w:spacing w:after="120"/>
      </w:pPr>
    </w:p>
    <w:p>
      <w:pPr>
        <w:spacing w:before="320" w:after="120"/>
        <w:keepNext w:val="1"/>
        <w:keepLines w:val="1"/>
      </w:pPr>
      <w:r>
        <w:rPr>
          <w:b/>
          <w:i w:val="0"/>
          <w:color w:val="112345"/>
          <w:sz w:val="26"/>
        </w:rPr>
        <w:t>FLAGGED, NOT FIXED</w:t>
      </w:r>
    </w:p>
    <w:p>
      <w:pPr>
        <w:spacing w:before="0" w:after="160"/>
      </w:pPr>
      <w:r>
        <w:rPr>
          <w:b w:val="0"/>
          <w:i w:val="0"/>
          <w:sz w:val="21"/>
        </w:rPr>
        <w:t>A source-language integrity check reads every spoken script for unsupported claims about what people do, feel or struggle with. It reports; it never rewrites. Five sentences were flagged across the six scripts and none was changed.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872"/>
            <w:shd w:val="clear" w:color="auto" w:fill="F3EFE6"/>
          </w:tcPr>
          <w:p>
            <w:pPr>
              <w:spacing w:before="60" w:after="60" w:line="264" w:lineRule="auto"/>
            </w:pPr>
            <w:r/>
            <w:r>
              <w:rPr>
                <w:b/>
                <w:i w:val="0"/>
                <w:color w:val="112345"/>
                <w:sz w:val="17"/>
              </w:rPr>
              <w:t>VIDEO</w:t>
            </w:r>
          </w:p>
        </w:tc>
        <w:tc>
          <w:tcPr>
            <w:tcW w:type="dxa" w:w="4176"/>
            <w:shd w:val="clear" w:color="auto" w:fill="F3EFE6"/>
          </w:tcPr>
          <w:p>
            <w:pPr>
              <w:spacing w:before="60" w:after="60" w:line="264" w:lineRule="auto"/>
            </w:pPr>
            <w:r/>
            <w:r>
              <w:rPr>
                <w:b/>
                <w:i w:val="0"/>
                <w:color w:val="112345"/>
                <w:sz w:val="17"/>
              </w:rPr>
              <w:t>THE SENTENCE</w:t>
            </w:r>
          </w:p>
        </w:tc>
        <w:tc>
          <w:tcPr>
            <w:tcW w:type="dxa" w:w="3600"/>
            <w:shd w:val="clear" w:color="auto" w:fill="F3EFE6"/>
          </w:tcPr>
          <w:p>
            <w:pPr>
              <w:spacing w:before="60" w:after="60" w:line="264" w:lineRule="auto"/>
            </w:pPr>
            <w:r/>
            <w:r>
              <w:rPr>
                <w:b/>
                <w:i w:val="0"/>
                <w:color w:val="112345"/>
                <w:sz w:val="17"/>
              </w:rPr>
              <w:t>WHY IT IS FLAGGED</w:t>
            </w:r>
          </w:p>
        </w:tc>
      </w:tr>
      <w:tr>
        <w:tc>
          <w:tcPr>
            <w:tcW w:type="dxa" w:w="1872"/>
          </w:tcPr>
          <w:p>
            <w:pPr>
              <w:spacing w:before="60" w:after="60" w:line="264" w:lineRule="auto"/>
            </w:pPr>
            <w:r/>
            <w:r>
              <w:rPr>
                <w:b w:val="0"/>
                <w:i w:val="0"/>
                <w:sz w:val="16"/>
              </w:rPr>
              <w:t>NEW V6 (former V22)</w:t>
            </w:r>
          </w:p>
        </w:tc>
        <w:tc>
          <w:tcPr>
            <w:tcW w:type="dxa" w:w="4176"/>
          </w:tcPr>
          <w:p>
            <w:pPr>
              <w:spacing w:before="60" w:after="60" w:line="264" w:lineRule="auto"/>
            </w:pPr>
            <w:r/>
            <w:r>
              <w:rPr>
                <w:b w:val="0"/>
                <w:i w:val="0"/>
                <w:sz w:val="16"/>
              </w:rPr>
              <w:t>Then ask the question people sometimes skip because they want the move to work:</w:t>
            </w:r>
          </w:p>
        </w:tc>
        <w:tc>
          <w:tcPr>
            <w:tcW w:type="dxa" w:w="3600"/>
          </w:tcPr>
          <w:p>
            <w:pPr>
              <w:spacing w:before="60" w:after="60" w:line="264" w:lineRule="auto"/>
            </w:pPr>
            <w:r/>
            <w:r>
              <w:rPr>
                <w:b w:val="0"/>
                <w:i w:val="0"/>
                <w:sz w:val="16"/>
              </w:rPr>
              <w:t>Asserts what people do and why. The separately locked V22 package replaced this exact sentence on September 13 by explicit authorization. The sprint script still carries it, so the two layers differ by one sentence. Not changed here: the FINAL sprint script is authoritative.</w:t>
            </w:r>
          </w:p>
        </w:tc>
      </w:tr>
      <w:tr>
        <w:tc>
          <w:tcPr>
            <w:tcW w:type="dxa" w:w="1872"/>
          </w:tcPr>
          <w:p>
            <w:pPr>
              <w:spacing w:before="60" w:after="60" w:line="264" w:lineRule="auto"/>
            </w:pPr>
            <w:r/>
            <w:r>
              <w:rPr>
                <w:b w:val="0"/>
                <w:i w:val="0"/>
                <w:sz w:val="16"/>
              </w:rPr>
              <w:t>NEW V8 (former V28)</w:t>
            </w:r>
          </w:p>
        </w:tc>
        <w:tc>
          <w:tcPr>
            <w:tcW w:type="dxa" w:w="4176"/>
          </w:tcPr>
          <w:p>
            <w:pPr>
              <w:spacing w:before="60" w:after="60" w:line="264" w:lineRule="auto"/>
            </w:pPr>
            <w:r/>
            <w:r>
              <w:rPr>
                <w:b w:val="0"/>
                <w:i w:val="0"/>
                <w:sz w:val="16"/>
              </w:rPr>
              <w:t>This happens because most people treat evidence like something they will collect later.</w:t>
            </w:r>
          </w:p>
        </w:tc>
        <w:tc>
          <w:tcPr>
            <w:tcW w:type="dxa" w:w="3600"/>
          </w:tcPr>
          <w:p>
            <w:pPr>
              <w:spacing w:before="60" w:after="60" w:line="264" w:lineRule="auto"/>
            </w:pPr>
            <w:r/>
            <w:r>
              <w:rPr>
                <w:b w:val="0"/>
                <w:i w:val="0"/>
                <w:sz w:val="16"/>
              </w:rPr>
              <w:t>Asserts what most people do. The teaching survives without the claim, but the sentence is approved source and was not touched.</w:t>
            </w:r>
          </w:p>
        </w:tc>
      </w:tr>
      <w:tr>
        <w:tc>
          <w:tcPr>
            <w:tcW w:type="dxa" w:w="1872"/>
          </w:tcPr>
          <w:p>
            <w:pPr>
              <w:spacing w:before="60" w:after="60" w:line="264" w:lineRule="auto"/>
            </w:pPr>
            <w:r/>
            <w:r>
              <w:rPr>
                <w:b w:val="0"/>
                <w:i w:val="0"/>
                <w:sz w:val="16"/>
              </w:rPr>
              <w:t>NEW V8 (former V28)</w:t>
            </w:r>
          </w:p>
        </w:tc>
        <w:tc>
          <w:tcPr>
            <w:tcW w:type="dxa" w:w="4176"/>
          </w:tcPr>
          <w:p>
            <w:pPr>
              <w:spacing w:before="60" w:after="60" w:line="264" w:lineRule="auto"/>
            </w:pPr>
            <w:r/>
            <w:r>
              <w:rPr>
                <w:b w:val="0"/>
                <w:i w:val="0"/>
                <w:sz w:val="16"/>
              </w:rPr>
              <w:t>People wait because collecting evidence can feel self-promotional while you are employed.</w:t>
            </w:r>
          </w:p>
        </w:tc>
        <w:tc>
          <w:tcPr>
            <w:tcW w:type="dxa" w:w="3600"/>
          </w:tcPr>
          <w:p>
            <w:pPr>
              <w:spacing w:before="60" w:after="60" w:line="264" w:lineRule="auto"/>
            </w:pPr>
            <w:r/>
            <w:r>
              <w:rPr>
                <w:b w:val="0"/>
                <w:i w:val="0"/>
                <w:sz w:val="16"/>
              </w:rPr>
              <w:t>Asserts a motive for a population. Not changed.</w:t>
            </w:r>
          </w:p>
        </w:tc>
      </w:tr>
      <w:tr>
        <w:tc>
          <w:tcPr>
            <w:tcW w:type="dxa" w:w="1872"/>
          </w:tcPr>
          <w:p>
            <w:pPr>
              <w:spacing w:before="60" w:after="60" w:line="264" w:lineRule="auto"/>
            </w:pPr>
            <w:r/>
            <w:r>
              <w:rPr>
                <w:b w:val="0"/>
                <w:i w:val="0"/>
                <w:sz w:val="16"/>
              </w:rPr>
              <w:t>NEW V9 (former V27)</w:t>
            </w:r>
          </w:p>
        </w:tc>
        <w:tc>
          <w:tcPr>
            <w:tcW w:type="dxa" w:w="4176"/>
          </w:tcPr>
          <w:p>
            <w:pPr>
              <w:spacing w:before="60" w:after="60" w:line="264" w:lineRule="auto"/>
            </w:pPr>
            <w:r/>
            <w:r>
              <w:rPr>
                <w:b w:val="0"/>
                <w:i w:val="0"/>
                <w:sz w:val="16"/>
              </w:rPr>
              <w:t>When people talk about changing industries, they usually ask one question:</w:t>
            </w:r>
          </w:p>
        </w:tc>
        <w:tc>
          <w:tcPr>
            <w:tcW w:type="dxa" w:w="3600"/>
          </w:tcPr>
          <w:p>
            <w:pPr>
              <w:spacing w:before="60" w:after="60" w:line="264" w:lineRule="auto"/>
            </w:pPr>
            <w:r/>
            <w:r>
              <w:rPr>
                <w:b w:val="0"/>
                <w:i w:val="0"/>
                <w:sz w:val="16"/>
              </w:rPr>
              <w:t>Asserts what people usually ask. Not changed.</w:t>
            </w:r>
          </w:p>
        </w:tc>
      </w:tr>
      <w:tr>
        <w:tc>
          <w:tcPr>
            <w:tcW w:type="dxa" w:w="1872"/>
          </w:tcPr>
          <w:p>
            <w:pPr>
              <w:spacing w:before="60" w:after="60" w:line="264" w:lineRule="auto"/>
            </w:pPr>
            <w:r/>
            <w:r>
              <w:rPr>
                <w:b w:val="0"/>
                <w:i w:val="0"/>
                <w:sz w:val="16"/>
              </w:rPr>
              <w:t>NEW V9 (former V27)</w:t>
            </w:r>
          </w:p>
        </w:tc>
        <w:tc>
          <w:tcPr>
            <w:tcW w:type="dxa" w:w="4176"/>
          </w:tcPr>
          <w:p>
            <w:pPr>
              <w:spacing w:before="60" w:after="60" w:line="264" w:lineRule="auto"/>
            </w:pPr>
            <w:r/>
            <w:r>
              <w:rPr>
                <w:b w:val="0"/>
                <w:i w:val="0"/>
                <w:sz w:val="16"/>
              </w:rPr>
              <w:t>And then there is the part people sometimes want to skip.</w:t>
            </w:r>
          </w:p>
        </w:tc>
        <w:tc>
          <w:tcPr>
            <w:tcW w:type="dxa" w:w="3600"/>
          </w:tcPr>
          <w:p>
            <w:pPr>
              <w:spacing w:before="60" w:after="60" w:line="264" w:lineRule="auto"/>
            </w:pPr>
            <w:r/>
            <w:r>
              <w:rPr>
                <w:b w:val="0"/>
                <w:i w:val="0"/>
                <w:sz w:val="16"/>
              </w:rPr>
              <w:t>Asserts what people want to do. Not changed.</w:t>
            </w:r>
          </w:p>
        </w:tc>
      </w:tr>
    </w:tbl>
    <w:p>
      <w:pPr>
        <w:spacing w:after="120"/>
      </w:pPr>
    </w:p>
    <w:p>
      <w:pPr>
        <w:spacing w:before="200" w:after="200"/>
        <w:ind w:left="216"/>
        <w:pBdr>
          <w:left w:val="single" w:sz="18" w:color="9B2C10" w:space="8"/>
        </w:pBdr>
        <w:keepNext w:val="1"/>
        <w:keepLines w:val="1"/>
      </w:pPr>
      <w:r>
        <w:rPr>
          <w:b/>
          <w:color w:val="9B2C10"/>
          <w:sz w:val="21"/>
        </w:rPr>
        <w:t>The NEW V6 flag is a genuine conflict, not a style note. That exact sentence was replaced in the separately locked V22 package on the same day, by explicit authorization, for exactly this reason. The sprint script still carries the earlier wording, so the two layers now differ by one sentence. The FINAL sprint script is authoritative here and was not touched. This needs a decision, not a fix.</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SRT timing and thumbnail artwork are all decided after the final edit.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