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Georgia" w:hAnsi="Georgia"/>
          <w:b/>
          <w:color w:val="112345"/>
          <w:sz w:val="50"/>
        </w:rPr>
        <w:t>CAPABILITY FORMATION</w:t>
      </w:r>
    </w:p>
    <w:p>
      <w:pPr>
        <w:jc w:val="center"/>
      </w:pPr>
      <w:r>
        <w:rPr>
          <w:rFonts w:ascii="Georgia" w:hAnsi="Georgia"/>
          <w:i/>
          <w:color w:val="112345"/>
          <w:sz w:val="36"/>
        </w:rPr>
        <w:t>YouTube Roadmap: Videos 1–30</w:t>
      </w:r>
    </w:p>
    <w:p>
      <w:pPr>
        <w:jc w:val="center"/>
      </w:pPr>
      <w:r>
        <w:rPr>
          <w:rFonts w:ascii="Aptos" w:hAnsi="Aptos"/>
          <w:b/>
          <w:color w:val="B08A45"/>
          <w:sz w:val="20"/>
        </w:rPr>
        <w:t>BELONGING-FIRST • IDENTITY-TRANSFORMATION • RESEARCH-ALIGNED</w:t>
      </w:r>
    </w:p>
    <w:p>
      <w:pPr>
        <w:spacing w:before="280"/>
        <w:jc w:val="center"/>
      </w:pPr>
      <w:r>
        <w:rPr>
          <w:rFonts w:ascii="Aptos" w:hAnsi="Aptos"/>
          <w:b/>
          <w:color w:val="112345"/>
          <w:sz w:val="24"/>
        </w:rPr>
        <w:t>“I have years of experience, but the next context may still ask me to prove I belong there.”</w:t>
      </w:r>
    </w:p>
    <w:p>
      <w:pPr>
        <w:jc w:val="center"/>
      </w:pPr>
      <w:r>
        <w:rPr>
          <w:rFonts w:ascii="Aptos" w:hAnsi="Aptos"/>
          <w:i/>
          <w:color w:val="5B6470"/>
          <w:sz w:val="20"/>
        </w:rPr>
        <w:t>Some of what you have done will count. Some will not. The work is knowing the difference, proving what travels, and learning what the next context genuinely requires.</w:t>
      </w:r>
    </w:p>
    <w:tbl>
      <w:tblPr>
        <w:tblW w:type="auto" w:w="0"/>
        <w:jc w:val="center"/>
        <w:tblLook w:firstColumn="1" w:firstRow="1" w:lastColumn="0" w:lastRow="0" w:noHBand="0" w:noVBand="1" w:val="04A0"/>
      </w:tblPr>
      <w:tblGrid>
        <w:gridCol w:w="14458"/>
      </w:tblGrid>
      <w:tr>
        <w:tc>
          <w:tcPr>
            <w:tcW w:type="dxa" w:w="14458"/>
            <w:shd w:fill="F6F1E7"/>
            <w:tcMar>
              <w:top w:w="140" w:type="dxa"/>
              <w:start w:w="180" w:type="dxa"/>
              <w:bottom w:w="140" w:type="dxa"/>
              <w:end w:w="180" w:type="dxa"/>
            </w:tcMar>
          </w:tcPr>
          <w:p>
            <w:pPr>
              <w:jc w:val="center"/>
            </w:pPr>
            <w:r>
              <w:rPr>
                <w:rFonts w:ascii="Aptos" w:hAnsi="Aptos"/>
                <w:b/>
                <w:color w:val="B08A45"/>
                <w:sz w:val="17"/>
              </w:rPr>
              <w:t>IDENTITY PROMISE</w:t>
            </w:r>
          </w:p>
          <w:p>
            <w:pPr>
              <w:jc w:val="center"/>
            </w:pPr>
            <w:r>
              <w:rPr>
                <w:rFonts w:ascii="Aptos" w:hAnsi="Aptos"/>
                <w:b/>
                <w:color w:val="112345"/>
                <w:sz w:val="22"/>
              </w:rPr>
              <w:t>Become the professional who knows what travels, can prove it, and can move when the context changes.</w:t>
            </w:r>
          </w:p>
        </w:tc>
      </w:tr>
    </w:tbl>
    <w:p>
      <w:r>
        <w:br w:type="page"/>
      </w:r>
    </w:p>
    <w:p>
      <w:pPr>
        <w:spacing w:before="120" w:after="80"/>
      </w:pPr>
      <w:r>
        <w:rPr>
          <w:rFonts w:ascii="Georgia" w:hAnsi="Georgia"/>
          <w:b/>
          <w:color w:val="112345"/>
          <w:sz w:val="31"/>
        </w:rPr>
        <w:t>1. Strategic architecture</w:t>
      </w:r>
    </w:p>
    <w:p>
      <w:pPr>
        <w:spacing w:after="80" w:line="245" w:lineRule="auto"/>
      </w:pPr>
      <w:r>
        <w:rPr>
          <w:rFonts w:ascii="Aptos" w:hAnsi="Aptos"/>
          <w:b/>
          <w:color w:val="112345"/>
          <w:sz w:val="18"/>
        </w:rPr>
        <w:t>Public front door:</w:t>
      </w:r>
      <w:r>
        <w:rPr>
          <w:rFonts w:ascii="Aptos" w:hAnsi="Aptos"/>
          <w:i w:val="0"/>
          <w:color w:val="202833"/>
          <w:sz w:val="18"/>
        </w:rPr>
        <w:t xml:space="preserve"> I help experienced professionals make career pivots and internal moves without starting over.</w:t>
      </w:r>
    </w:p>
    <w:p>
      <w:pPr>
        <w:spacing w:after="80" w:line="245" w:lineRule="auto"/>
      </w:pPr>
      <w:r>
        <w:rPr>
          <w:rFonts w:ascii="Aptos" w:hAnsi="Aptos"/>
          <w:i w:val="0"/>
          <w:color w:val="202833"/>
          <w:sz w:val="18"/>
        </w:rPr>
        <w:t>Belonging before instruction remains mandatory. The sharper research tension is not simply “Are my skills transferable?” It is whether another role, employer, function or industry will trust experience formed somewhere else—and what the viewer may have to rebuild professionally, financially or both.</w:t>
      </w:r>
    </w:p>
    <w:p>
      <w:pPr>
        <w:spacing w:after="80" w:line="245" w:lineRule="auto"/>
      </w:pPr>
      <w:r>
        <w:rPr>
          <w:rFonts w:ascii="Aptos" w:hAnsi="Aptos"/>
          <w:i w:val="0"/>
          <w:color w:val="202833"/>
          <w:sz w:val="18"/>
        </w:rPr>
        <w:t>Permanent boundary: we cannot promise that employers will accept adjacent experience, eliminate ageism, overcome a weak market or make every skill transfer. Some experience travels; some is context-bound; some must be relearned.</w:t>
      </w:r>
    </w:p>
    <w:p>
      <w:pPr>
        <w:spacing w:before="120" w:after="80"/>
      </w:pPr>
      <w:r>
        <w:rPr>
          <w:rFonts w:ascii="Georgia" w:hAnsi="Georgia"/>
          <w:b/>
          <w:color w:val="112345"/>
          <w:sz w:val="31"/>
        </w:rPr>
        <w:t>2. Protect both audience moments</w:t>
      </w:r>
    </w:p>
    <w:tbl>
      <w:tblPr>
        <w:tblStyle w:val="TableGrid"/>
        <w:tblW w:type="auto" w:w="0"/>
        <w:jc w:val="center"/>
        <w:tblLook w:firstColumn="1" w:firstRow="1" w:lastColumn="0" w:lastRow="0" w:noHBand="0" w:noVBand="1" w:val="04A0"/>
      </w:tblPr>
      <w:tblGrid>
        <w:gridCol w:w="4819"/>
        <w:gridCol w:w="4819"/>
        <w:gridCol w:w="4819"/>
      </w:tblGrid>
      <w:tr>
        <w:trPr>
          <w:tblHeader w:val="true"/>
          <w:cantSplit/>
        </w:trPr>
        <w:tc>
          <w:tcPr>
            <w:tcW w:type="dxa" w:w="4819"/>
            <w:shd w:fill="112345"/>
            <w:tcMar>
              <w:top w:w="55" w:type="dxa"/>
              <w:start w:w="60" w:type="dxa"/>
              <w:bottom w:w="55" w:type="dxa"/>
              <w:end w:w="60" w:type="dxa"/>
            </w:tcMar>
          </w:tcPr>
          <w:p>
            <w:pPr>
              <w:spacing w:after="0"/>
            </w:pPr>
            <w:r>
              <w:rPr>
                <w:rFonts w:ascii="Aptos" w:hAnsi="Aptos"/>
                <w:b/>
                <w:color w:val="FFFFFF"/>
                <w:sz w:val="14"/>
              </w:rPr>
              <w:t>Audience moment</w:t>
            </w:r>
          </w:p>
        </w:tc>
        <w:tc>
          <w:tcPr>
            <w:tcW w:type="dxa" w:w="4819"/>
            <w:shd w:fill="112345"/>
            <w:tcMar>
              <w:top w:w="55" w:type="dxa"/>
              <w:start w:w="60" w:type="dxa"/>
              <w:bottom w:w="55" w:type="dxa"/>
              <w:end w:w="60" w:type="dxa"/>
            </w:tcMar>
          </w:tcPr>
          <w:p>
            <w:pPr>
              <w:spacing w:after="0"/>
            </w:pPr>
            <w:r>
              <w:rPr>
                <w:rFonts w:ascii="Aptos" w:hAnsi="Aptos"/>
                <w:b/>
                <w:color w:val="FFFFFF"/>
                <w:sz w:val="14"/>
              </w:rPr>
              <w:t>Viewer state</w:t>
            </w:r>
          </w:p>
        </w:tc>
        <w:tc>
          <w:tcPr>
            <w:tcW w:type="dxa" w:w="4819"/>
            <w:shd w:fill="112345"/>
            <w:tcMar>
              <w:top w:w="55" w:type="dxa"/>
              <w:start w:w="60" w:type="dxa"/>
              <w:bottom w:w="55" w:type="dxa"/>
              <w:end w:w="60" w:type="dxa"/>
            </w:tcMar>
          </w:tcPr>
          <w:p>
            <w:pPr>
              <w:spacing w:after="0"/>
            </w:pPr>
            <w:r>
              <w:rPr>
                <w:rFonts w:ascii="Aptos" w:hAnsi="Aptos"/>
                <w:b/>
                <w:color w:val="FFFFFF"/>
                <w:sz w:val="14"/>
              </w:rPr>
              <w:t>Editorial job</w:t>
            </w:r>
          </w:p>
        </w:tc>
      </w:tr>
      <w:tr>
        <w:trPr>
          <w:cantSplit/>
        </w:trPr>
        <w:tc>
          <w:tcPr>
            <w:tcW w:type="dxa" w:w="4819"/>
            <w:vAlign w:val="top"/>
            <w:tcMar>
              <w:top w:w="55" w:type="dxa"/>
              <w:start w:w="60" w:type="dxa"/>
              <w:bottom w:w="55" w:type="dxa"/>
              <w:end w:w="60" w:type="dxa"/>
            </w:tcMar>
          </w:tcPr>
          <w:p>
            <w:pPr>
              <w:spacing w:after="0" w:line="223" w:lineRule="auto"/>
            </w:pPr>
            <w:r>
              <w:rPr>
                <w:rFonts w:ascii="Aptos" w:hAnsi="Aptos"/>
                <w:color w:val="202833"/>
                <w:sz w:val="16"/>
              </w:rPr>
              <w:t>ACUTE</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6"/>
              </w:rPr>
              <w:t>“My context already changed. Help me move.”</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6"/>
              </w:rPr>
              <w:t>Serve active pivot, layoff, re-entry and transition. Do not turn the channel into a layoff channel.</w:t>
            </w:r>
          </w:p>
        </w:tc>
      </w:tr>
      <w:tr>
        <w:trPr>
          <w:cantSplit/>
        </w:trPr>
        <w:tc>
          <w:tcPr>
            <w:tcW w:type="dxa" w:w="4819"/>
            <w:vAlign w:val="top"/>
            <w:tcMar>
              <w:top w:w="55" w:type="dxa"/>
              <w:start w:w="60" w:type="dxa"/>
              <w:bottom w:w="55" w:type="dxa"/>
              <w:end w:w="60" w:type="dxa"/>
            </w:tcMar>
          </w:tcPr>
          <w:p>
            <w:pPr>
              <w:spacing w:after="0" w:line="223" w:lineRule="auto"/>
            </w:pPr>
            <w:r>
              <w:rPr>
                <w:rFonts w:ascii="Aptos" w:hAnsi="Aptos"/>
                <w:color w:val="202833"/>
                <w:sz w:val="16"/>
              </w:rPr>
              <w:t>PREPAREDNESS</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6"/>
              </w:rPr>
              <w:t>“My context has not changed yet. Help me be ready if it does.”</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6"/>
              </w:rPr>
              <w:t>Serve employed-but-stuck viewers testing marketability, growth, internal moves and options before urgency.</w:t>
            </w:r>
          </w:p>
        </w:tc>
      </w:tr>
    </w:tbl>
    <w:p>
      <w:pPr>
        <w:spacing w:before="120" w:after="80"/>
      </w:pPr>
      <w:r>
        <w:rPr>
          <w:rFonts w:ascii="Georgia" w:hAnsi="Georgia"/>
          <w:b/>
          <w:color w:val="112345"/>
          <w:sz w:val="31"/>
        </w:rPr>
        <w:t>3. Permanent audit: four questions + employer legibility</w:t>
      </w:r>
    </w:p>
    <w:p>
      <w:pPr>
        <w:pStyle w:val="ListBullet"/>
        <w:spacing w:after="40"/>
      </w:pPr>
      <w:r>
        <w:rPr>
          <w:rFonts w:ascii="Aptos" w:hAnsi="Aptos"/>
          <w:color w:val="202833"/>
          <w:sz w:val="17"/>
        </w:rPr>
        <w:t>What travels?</w:t>
      </w:r>
    </w:p>
    <w:p>
      <w:pPr>
        <w:pStyle w:val="ListBullet"/>
        <w:spacing w:after="40"/>
      </w:pPr>
      <w:r>
        <w:rPr>
          <w:rFonts w:ascii="Aptos" w:hAnsi="Aptos"/>
          <w:color w:val="202833"/>
          <w:sz w:val="17"/>
        </w:rPr>
        <w:t>What does not?</w:t>
      </w:r>
    </w:p>
    <w:p>
      <w:pPr>
        <w:pStyle w:val="ListBullet"/>
        <w:spacing w:after="40"/>
      </w:pPr>
      <w:r>
        <w:rPr>
          <w:rFonts w:ascii="Aptos" w:hAnsi="Aptos"/>
          <w:color w:val="202833"/>
          <w:sz w:val="17"/>
        </w:rPr>
        <w:t>What can I prove?</w:t>
      </w:r>
    </w:p>
    <w:p>
      <w:pPr>
        <w:pStyle w:val="ListBullet"/>
        <w:spacing w:after="40"/>
      </w:pPr>
      <w:r>
        <w:rPr>
          <w:rFonts w:ascii="Aptos" w:hAnsi="Aptos"/>
          <w:color w:val="202833"/>
          <w:sz w:val="17"/>
        </w:rPr>
        <w:t>What must I relearn?</w:t>
      </w:r>
    </w:p>
    <w:p>
      <w:pPr>
        <w:spacing w:after="80" w:line="245" w:lineRule="auto"/>
      </w:pPr>
      <w:r>
        <w:rPr>
          <w:rFonts w:ascii="Aptos" w:hAnsi="Aptos"/>
          <w:i w:val="0"/>
          <w:color w:val="202833"/>
          <w:sz w:val="18"/>
        </w:rPr>
        <w:t>Employer-legibility rule: move beyond “How do I describe my transferable skills?” toward “What would make the other side trust that this experience is useful here?” Show comparable decisions, complexity handled, outcomes, evidence, context gaps, real learning requirements and what the professional cannot legitimately claim.</w:t>
      </w:r>
    </w:p>
    <w:p>
      <w:pPr>
        <w:spacing w:after="80" w:line="245" w:lineRule="auto"/>
      </w:pPr>
      <w:r>
        <w:rPr>
          <w:rFonts w:ascii="Aptos" w:hAnsi="Aptos"/>
          <w:i w:val="0"/>
          <w:color w:val="202833"/>
          <w:sz w:val="18"/>
        </w:rPr>
        <w:t>Language rule: use ordinary viewer language such as “direct experience” before proprietary terminology when that is the actual pain.</w:t>
      </w:r>
    </w:p>
    <w:p>
      <w:pPr>
        <w:spacing w:before="120" w:after="80"/>
      </w:pPr>
      <w:r>
        <w:rPr>
          <w:rFonts w:ascii="Georgia" w:hAnsi="Georgia"/>
          <w:b/>
          <w:color w:val="112345"/>
          <w:sz w:val="31"/>
        </w:rPr>
        <w:t>4. What makes the channel hard to replace</w:t>
      </w:r>
    </w:p>
    <w:p>
      <w:pPr>
        <w:pStyle w:val="ListBullet"/>
        <w:spacing w:after="40"/>
      </w:pPr>
      <w:r>
        <w:rPr>
          <w:rFonts w:ascii="Aptos" w:hAnsi="Aptos"/>
          <w:color w:val="202833"/>
          <w:sz w:val="17"/>
        </w:rPr>
        <w:t>Interpretation and judgment—not information volume.</w:t>
      </w:r>
    </w:p>
    <w:p>
      <w:pPr>
        <w:pStyle w:val="ListBullet"/>
        <w:spacing w:after="40"/>
      </w:pPr>
      <w:r>
        <w:rPr>
          <w:rFonts w:ascii="Aptos" w:hAnsi="Aptos"/>
          <w:color w:val="202833"/>
          <w:sz w:val="17"/>
        </w:rPr>
        <w:t>Temidayo’s lived evidence, real artifacts and documented proof.</w:t>
      </w:r>
    </w:p>
    <w:p>
      <w:pPr>
        <w:pStyle w:val="ListBullet"/>
        <w:spacing w:after="40"/>
      </w:pPr>
      <w:r>
        <w:rPr>
          <w:rFonts w:ascii="Aptos" w:hAnsi="Aptos"/>
          <w:color w:val="202833"/>
          <w:sz w:val="17"/>
        </w:rPr>
        <w:t>Organizational mechanics: what the professional must prove AND what the other side must trust.</w:t>
      </w:r>
    </w:p>
    <w:p>
      <w:pPr>
        <w:pStyle w:val="ListBullet"/>
        <w:spacing w:after="40"/>
      </w:pPr>
      <w:r>
        <w:rPr>
          <w:rFonts w:ascii="Aptos" w:hAnsi="Aptos"/>
          <w:color w:val="202833"/>
          <w:sz w:val="17"/>
        </w:rPr>
        <w:t>Watch-me-think analysis using real public evidence.</w:t>
      </w:r>
    </w:p>
    <w:p>
      <w:pPr>
        <w:pStyle w:val="ListBullet"/>
        <w:spacing w:after="40"/>
      </w:pPr>
      <w:r>
        <w:rPr>
          <w:rFonts w:ascii="Aptos" w:hAnsi="Aptos"/>
          <w:color w:val="202833"/>
          <w:sz w:val="17"/>
        </w:rPr>
        <w:t>Honest boundaries: what does not travel and what must be relearned.</w:t>
      </w:r>
    </w:p>
    <w:p>
      <w:pPr>
        <w:pStyle w:val="ListBullet"/>
        <w:spacing w:after="40"/>
      </w:pPr>
      <w:r>
        <w:rPr>
          <w:rFonts w:ascii="Aptos" w:hAnsi="Aptos"/>
          <w:color w:val="202833"/>
          <w:sz w:val="17"/>
        </w:rPr>
        <w:t>Future audience cases and original Career Portability research.</w:t>
      </w:r>
    </w:p>
    <w:p>
      <w:pPr>
        <w:spacing w:after="80" w:line="245" w:lineRule="auto"/>
      </w:pPr>
      <w:r>
        <w:rPr>
          <w:rFonts w:ascii="Aptos" w:hAnsi="Aptos"/>
          <w:i w:val="0"/>
          <w:color w:val="202833"/>
          <w:sz w:val="18"/>
        </w:rPr>
        <w:t>Differentiation test: Could AI or a generic career creator answer this without Temidayo? If yes, add evidence, artifact, case, analysis, organizational perspective, failure/relearning or boundary.</w:t>
      </w:r>
    </w:p>
    <w:p>
      <w:r>
        <w:br w:type="page"/>
      </w:r>
    </w:p>
    <w:p>
      <w:pPr>
        <w:spacing w:before="120" w:after="80"/>
      </w:pPr>
      <w:r>
        <w:rPr>
          <w:rFonts w:ascii="Georgia" w:hAnsi="Georgia"/>
          <w:b/>
          <w:color w:val="112345"/>
          <w:sz w:val="31"/>
        </w:rPr>
        <w:t>5. Roadmap — Videos 1–10</w:t>
      </w:r>
    </w:p>
    <w:tbl>
      <w:tblPr>
        <w:tblStyle w:val="TableGrid"/>
        <w:tblW w:type="auto" w:w="0"/>
        <w:jc w:val="center"/>
        <w:tblLook w:firstColumn="1" w:firstRow="1" w:lastColumn="0" w:lastRow="0" w:noHBand="0" w:noVBand="1" w:val="04A0"/>
      </w:tblPr>
      <w:tblGrid>
        <w:gridCol w:w="1807"/>
        <w:gridCol w:w="1807"/>
        <w:gridCol w:w="1807"/>
        <w:gridCol w:w="1807"/>
        <w:gridCol w:w="1807"/>
        <w:gridCol w:w="1807"/>
        <w:gridCol w:w="1807"/>
        <w:gridCol w:w="1807"/>
      </w:tblGrid>
      <w:tr>
        <w:trPr>
          <w:tblHeader w:val="true"/>
          <w:cantSplit/>
        </w:trPr>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Search title</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Thumbnail</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Format</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Recognition / hook</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Proof / distinctive angle</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Future identity</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CTA</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1</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How to Change Jobs Without Starting Your Career Over</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DON’T START FROM ZERO</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personal proof</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“If I change jobs, do my years of experience still count?”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Cross-context career + onboarding proof 47→75, led with team. Not everything transfers.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Know what is still yours, what you can prove and what you must still learn.</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Career Evidence Starter</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2</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Is Your Job Making You Less Marketable?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VALUABLE HERE. STUCK HERE?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diagnosis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“Would another company understand what I actually do?”</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Valuable here vs legible elsewhere; company context can hide portability.</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Check whether options are expanding before disruption forces the question.</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Field Kit</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3</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3 Things to Do Before Quitting Your Job</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WAIT BEFORE YOU QUIT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decision</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“I may be done. How do I leave without losing what this chapter built?”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Career-transition evidence; preserve only what you are entitled to keep.</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Leave with evidence, clarity and a better read of what the next move must use/build.</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Decision Check</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4</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How to Explain Your Career Change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YOUR CAREER MAKES SENSE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personal case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“My career makes sense to me. Will it make sense to anyone else?”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Nonlinear career + EY “cat with nine lives” joke; no fake perfect plan.</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Explain a nonlinear career without apologizing or inventing coherence.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Career Evidence Starter</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5</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Should I Make an Internal Move? 3 Questions to Decide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YOU MAY NOT NEED TO LEAVE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org mechanics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“Do I need to leave to get different work?”</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Maternity return; scope expanded ~6 months later; trusted with different work.</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Read any opportunity for what it will build, not only whether the title changes.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Decision Check</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6</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Are You Growing—or Just Being Given More Work?</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MORE WORK ≠ GROWTH</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contrarian</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“My scope keeps growing. Is my career actually growing?”</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CAR: Complexity, Authority, Return. Scope expansion ≠ development.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Recognize whether work is compounding capability or only consuming capacity.</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Field Kit</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7</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How to Show Your Impact at Work When You Built It From Scratch</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MAKE INVISIBLE WORK VISIBLE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Personal case + evidence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“How do I prove work when the before-state was incomplete?”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First-in-role / building-while-operating: foundational systems, onboarding, change, governance and CSR; make invisible work legible without sole-causation claims.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Make foundational work legible without overclaiming sole causation.</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Keep the Proof</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8</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How to Switch Industries Without Starting Over</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YOUR EXPERIENCE STILL COUNTS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personal proof</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“The jobs I want keep asking for direct industry experience. Does that mean I have to start over?”</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Capability / Context / Credential. Separate what genuinely travels from context to learn, required credentials/domain knowledge, and “direct experience” used as hiring-risk shorthand. Do not dismiss legitimate direct-experience requirements.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Carry what still applies while knowing exactly what the next context must teach you and what you cannot honestly claim yet.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Field Kit</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9</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 to Do Before a Layoff Happens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KEEP THE PROOF</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preparedness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“If this changed tomorrow, would I know what I could carry?”</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Evidence before access changes; established transition/layoff story when relevant.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Become prepared before somebody else chooses the timing.</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Keep the Proof</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10</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Do You Need Another Certification to Change Careers?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DO YOU NEED THE CREDENTIAL?</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personal case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“Am I missing capability—or just proof that I have it?”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Professional-certification prep/non-pass; credential vs capability vs context.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Know when another credential solves the problem—and when it does not.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Field Kit</w:t>
            </w:r>
          </w:p>
        </w:tc>
      </w:tr>
    </w:tbl>
    <w:p>
      <w:r>
        <w:br w:type="page"/>
      </w:r>
    </w:p>
    <w:p>
      <w:pPr>
        <w:spacing w:before="120" w:after="80"/>
      </w:pPr>
      <w:r>
        <w:rPr>
          <w:rFonts w:ascii="Georgia" w:hAnsi="Georgia"/>
          <w:b/>
          <w:color w:val="112345"/>
          <w:sz w:val="31"/>
        </w:rPr>
        <w:t>6. Roadmap — Videos 11–20</w:t>
      </w:r>
    </w:p>
    <w:tbl>
      <w:tblPr>
        <w:tblStyle w:val="TableGrid"/>
        <w:tblW w:type="auto" w:w="0"/>
        <w:jc w:val="center"/>
        <w:tblLook w:firstColumn="1" w:firstRow="1" w:lastColumn="0" w:lastRow="0" w:noHBand="0" w:noVBand="1" w:val="04A0"/>
      </w:tblPr>
      <w:tblGrid>
        <w:gridCol w:w="1807"/>
        <w:gridCol w:w="1807"/>
        <w:gridCol w:w="1807"/>
        <w:gridCol w:w="1807"/>
        <w:gridCol w:w="1807"/>
        <w:gridCol w:w="1807"/>
        <w:gridCol w:w="1807"/>
        <w:gridCol w:w="1807"/>
      </w:tblGrid>
      <w:tr>
        <w:trPr>
          <w:tblHeader w:val="true"/>
          <w:cantSplit/>
        </w:trPr>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Search title</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Thumbnail</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Format</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Recognition / hook</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Proof / distinctive angle</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Future identity</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CTA</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11</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 to Do When You Can’t Quit Your Job Yet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YOU CAN BUILD OPTIONS NOW</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decision</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“I know I need change, but leaving is not realistic yet.”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Real constraints; build options without romanticizing resignation.</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Use a constrained season to increase future room to move.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Decision Check</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12</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How to Build Career Options Before You Need Them</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BUILD OPTIONS BEFORE YOU NEED THEM</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practical</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 can I build now so I am not scrambling later?”</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Option-building while employed: evidence, range, relationships, exposure.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Build portability before urgency turns it into survival.</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Field Kit</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13</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 a Hiring Manager Needs to Believe Before You Switch Industries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CAN THEY SEE YOU THERE?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Organizational mechanics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“I know I could do this work. They keep asking for direct experience. What would make them believe me?”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Keep the hiring-manager trust argument. Before production, TEST the current title against “How to Get Hired Without Direct Industry Experience.” Compare search clarity, recognition and differentiation; do not auto-replace.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Prove adjacent experience in a way the other side can trust without pretending missing context does not matter.</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Career Evidence Starter</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14</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I Read 30 Senior-Level Job Descriptions. Here’s What Actually Transfers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 ACTUALLY TRAVELS?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Watch me think • RESEARCH REQUIRED</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“Which requirements truly travel—and which are direct-experience or context requirements?”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Collect/document 30 real current senior-level job descriptions BEFORE scripting findings. Code: portable; contextual/domain-specific; credential; explicit direct-experience requirement; ambiguous/hiring-risk language. Show the reasoning; do not manufacture findings.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Read job requirements critically instead of treating every line as equally transferable—or equally negotiable.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Career Evidence Starter</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15</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Why Companies Miss the Talent They Already Have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THE TALENT IS ALREADY HERE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Organizational mechanics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“Why can a company value you and still fail to see you somewhere else?”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Internal mobility/talent systems; institution may miss formed judgment.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Recognize when the barrier is translation, access, role design or visibility.</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Soft / Book</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16</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How to Stay Valuable at Work as AI Changes Your Job</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 STILL NEEDS YOUR JUDGMENT?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future of work</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“If AI does more of the task, what still makes me valuable?”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Human judgment, ambiguity, consequence—not generic prompt tips.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Track what remains yours to notice, decide and own as tasks change.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Field Kit</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17</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Should You Stay an Individual Contributor—or Become a Manager?</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YOU DON’T HAVE TO MANAGE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decision</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“Is management actually the next growth move for me?”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Compare what each path forms, not status or prestige.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Choose the path that builds the judgment/range you actually want.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Decision Check</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18</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Is Consulting a Real Next Step for Your Career?</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EXPERIENCE ISN’T AN OFFER</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decision</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“I have experience. Does that mean I have a consulting offer?”</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Separate expertise from a clear client problem, proof and offer.</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Know whether consulting is a genuine next context or an attractive idea.</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Decision Check</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19</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How to Return After a Career Break Without Starting at Zero</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THE GAP ISN’T THE WHOLE STORY</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evidence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“My experience is real—but is it recent enough or direct enough for this employer to trust?”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Separate what still travels, what evidence remains credible, what needs refreshing and what genuinely must be relearned. Add employer-trust/recency without pretending time stood still.</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Return knowing what still counts, what needs refreshing and what evidence helps another context trust you now.</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Career Evidence Starter</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20</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 I Had to Relearn When I Changed Industries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NOT EVERYTHING TRAVELS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Personal case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 if experience travels—but domain mastery does not?”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Temidayo’s cross-industry transitions; study, context, credential, humility.</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Become confident enough to carry value and humble enough to relearn.</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Field Kit</w:t>
            </w:r>
          </w:p>
        </w:tc>
      </w:tr>
    </w:tbl>
    <w:p>
      <w:r>
        <w:br w:type="page"/>
      </w:r>
    </w:p>
    <w:p>
      <w:pPr>
        <w:spacing w:before="120" w:after="80"/>
      </w:pPr>
      <w:r>
        <w:rPr>
          <w:rFonts w:ascii="Georgia" w:hAnsi="Georgia"/>
          <w:b/>
          <w:color w:val="112345"/>
          <w:sz w:val="31"/>
        </w:rPr>
        <w:t>7. Roadmap — Videos 21–30</w:t>
      </w:r>
    </w:p>
    <w:tbl>
      <w:tblPr>
        <w:tblStyle w:val="TableGrid"/>
        <w:tblW w:type="auto" w:w="0"/>
        <w:jc w:val="center"/>
        <w:tblLook w:firstColumn="1" w:firstRow="1" w:lastColumn="0" w:lastRow="0" w:noHBand="0" w:noVBand="1" w:val="04A0"/>
      </w:tblPr>
      <w:tblGrid>
        <w:gridCol w:w="1807"/>
        <w:gridCol w:w="1807"/>
        <w:gridCol w:w="1807"/>
        <w:gridCol w:w="1807"/>
        <w:gridCol w:w="1807"/>
        <w:gridCol w:w="1807"/>
        <w:gridCol w:w="1807"/>
        <w:gridCol w:w="1807"/>
      </w:tblGrid>
      <w:tr>
        <w:trPr>
          <w:tblHeader w:val="true"/>
          <w:cantSplit/>
        </w:trPr>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Search title</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Thumbnail</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Format</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Recognition / hook</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Proof / distinctive angle</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Future identity</w:t>
            </w:r>
          </w:p>
        </w:tc>
        <w:tc>
          <w:tcPr>
            <w:tcW w:type="dxa" w:w="1807"/>
            <w:shd w:fill="112345"/>
            <w:tcMar>
              <w:top w:w="55" w:type="dxa"/>
              <w:start w:w="60" w:type="dxa"/>
              <w:bottom w:w="55" w:type="dxa"/>
              <w:end w:w="60" w:type="dxa"/>
            </w:tcMar>
          </w:tcPr>
          <w:p>
            <w:pPr>
              <w:spacing w:after="0" w:line="223" w:lineRule="auto"/>
            </w:pPr>
            <w:r>
              <w:rPr>
                <w:rFonts w:ascii="Aptos" w:hAnsi="Aptos"/>
                <w:b/>
                <w:color w:val="FFFFFF"/>
                <w:sz w:val="14"/>
              </w:rPr>
              <w:t>CTA</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21</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No Promotion? How to Know Whether to Wait or Move On</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WAIT OR MOVE?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decision</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“How long do I wait when the next step keeps moving?”</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Promotion evidence as signal—not automatic instruction to leave.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Read what the environment is building or withholding before deciding.</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Decision Check</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22</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 Happens to Your Career When Your Company Gets Flatter?</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THE LADDER CHANGED</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Org mechanics + search</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“If there are fewer promotions, what does growth look like now?”</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Flatter structures change access, scope and visibility—not only titles.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Build a career that can grow even when the ladder changes shape.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Field Kit</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23</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How to Grow When You’re Already Senior in Your Career</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WHAT’S NEXT AFTER SENIOR?</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senior mechanics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“If title growth slows, what should growth become?”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Judgment, range, influence, options and work quality beyond promotion.</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Redefine growth so seniority does not become stagnation.</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Field Kit</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24</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 Getting Hired by the Same Firm Three Times Taught Me About Career Value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WHY THEY HIRED ME AGAIN</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Personal case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 makes an organization trust you again in a new chapter?”</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Deloitte hired Temidayo three times; repeated organizational trust.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Learn to identify the value that survives role and chapter changes.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Career Evidence Starter</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25</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When AI Removes the Work That Used to Teach You</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 ARE YOU STILL LEARNING?</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Original thesis / AI</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 if automation removes the practice that used to build judgment?”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AI may remove developmental work, not merely tasks.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Protect the experiences that still build judgment as work is redesigned.</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Field Kit</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26</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How to Choose a Stretch Assignment That Actually Builds Your Career</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NOT ALL STRETCH IS GROWTH</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decision</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“Is this stretch assignment development—or just more work?”</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Test whether assignment changes problems, judgment, relationships and proof.</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Choose stretch that expands what you can carry afterward.</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Field Kit</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27</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 Makes Someone Look Ready for a Bigger Role?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 MAKES YOU LOOK READY?</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Organizational mechanics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 does a leader need to see before trusting me with more?”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Readiness through visible judgment, evidence and pattern—not charisma alone.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Build proof that makes future trust easier to grant.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Career Evidence Starter</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28</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How to Know If Your Expertise Has Become Too Narrow</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TOO VALUABLE HERE?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Search + diagnosis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“Am I highly valuable—or highly dependent on one context?”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Deep expertise vs context dependence; concentrated internal value.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Keep expertise deep without letting your options become narrow.</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Field Kit</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29</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Career Portability Case File #1 — Stay, Move Internally, or Leave?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 WOULD YOU DO NEXT?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Audience case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“How do I read a real decision when every option has tradeoffs?”</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Anonymized viewer case; Temidayo shows reasoning live.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Learn how to think through ambiguity rather than copy someone else’s answer.</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Decision Check</w:t>
            </w:r>
          </w:p>
        </w:tc>
      </w:tr>
      <w:tr>
        <w:trPr>
          <w:cantSplit/>
        </w:trPr>
        <w:tc>
          <w:tcPr>
            <w:tcW w:type="dxa" w:w="1807"/>
            <w:vAlign w:val="top"/>
            <w:tcMar>
              <w:top w:w="55" w:type="dxa"/>
              <w:start w:w="60" w:type="dxa"/>
              <w:bottom w:w="55" w:type="dxa"/>
              <w:end w:w="60" w:type="dxa"/>
            </w:tcMar>
            <w:shd w:fill="EEF1F4"/>
          </w:tcPr>
          <w:p>
            <w:pPr>
              <w:spacing w:after="0" w:line="223" w:lineRule="auto"/>
            </w:pPr>
            <w:r>
              <w:rPr>
                <w:rFonts w:ascii="Aptos" w:hAnsi="Aptos"/>
                <w:b w:val="0"/>
                <w:color w:val="202833"/>
                <w:sz w:val="12"/>
              </w:rPr>
              <w:t>30</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How to Choose Your Next Career Move Without Wasting Your Experience</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WHAT SHOULD THE NEXT MOVE BUILD?</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Synthesis + search</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“Is this next move asking me to start over—or only to rebuild one part of the context?”</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Capstone must separate restart by finances, title, scope, context and actual capability. These are not the same tradeoff. Combine formation, portability, proof, relearning and employer legibility.</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Choose the next move knowing what you are carrying forward, what you are giving up and what you are deliberately rebuilding.</w:t>
            </w:r>
          </w:p>
        </w:tc>
        <w:tc>
          <w:tcPr>
            <w:tcW w:type="dxa" w:w="1807"/>
            <w:vAlign w:val="top"/>
            <w:tcMar>
              <w:top w:w="55" w:type="dxa"/>
              <w:start w:w="60" w:type="dxa"/>
              <w:bottom w:w="55" w:type="dxa"/>
              <w:end w:w="60" w:type="dxa"/>
            </w:tcMar>
          </w:tcPr>
          <w:p>
            <w:pPr>
              <w:spacing w:after="0" w:line="223" w:lineRule="auto"/>
            </w:pPr>
            <w:r>
              <w:rPr>
                <w:rFonts w:ascii="Aptos" w:hAnsi="Aptos"/>
                <w:b w:val="0"/>
                <w:color w:val="202833"/>
                <w:sz w:val="12"/>
              </w:rPr>
              <w:t>Decision Check</w:t>
            </w:r>
          </w:p>
        </w:tc>
      </w:tr>
    </w:tbl>
    <w:p>
      <w:r>
        <w:br w:type="page"/>
      </w:r>
    </w:p>
    <w:p>
      <w:pPr>
        <w:spacing w:before="120" w:after="80"/>
      </w:pPr>
      <w:r>
        <w:rPr>
          <w:rFonts w:ascii="Georgia" w:hAnsi="Georgia"/>
          <w:b/>
          <w:color w:val="112345"/>
          <w:sz w:val="31"/>
        </w:rPr>
        <w:t>8. Research-alignment notes that are now source material</w:t>
      </w:r>
    </w:p>
    <w:tbl>
      <w:tblPr>
        <w:tblStyle w:val="TableGrid"/>
        <w:tblW w:type="auto" w:w="0"/>
        <w:jc w:val="center"/>
        <w:tblLook w:firstColumn="1" w:firstRow="1" w:lastColumn="0" w:lastRow="0" w:noHBand="0" w:noVBand="1" w:val="04A0"/>
      </w:tblPr>
      <w:tblGrid>
        <w:gridCol w:w="7229"/>
        <w:gridCol w:w="7229"/>
      </w:tblGrid>
      <w:tr>
        <w:trPr>
          <w:tblHeader w:val="true"/>
          <w:cantSplit/>
        </w:trPr>
        <w:tc>
          <w:tcPr>
            <w:tcW w:type="dxa" w:w="7229"/>
            <w:shd w:fill="112345"/>
            <w:tcMar>
              <w:top w:w="55" w:type="dxa"/>
              <w:start w:w="60" w:type="dxa"/>
              <w:bottom w:w="55" w:type="dxa"/>
              <w:end w:w="60" w:type="dxa"/>
            </w:tcMar>
          </w:tcPr>
          <w:p>
            <w:pPr>
              <w:spacing w:after="0"/>
            </w:pPr>
            <w:r>
              <w:rPr>
                <w:rFonts w:ascii="Aptos" w:hAnsi="Aptos"/>
                <w:b/>
                <w:color w:val="FFFFFF"/>
                <w:sz w:val="14"/>
              </w:rPr>
              <w:t>Video</w:t>
            </w:r>
          </w:p>
        </w:tc>
        <w:tc>
          <w:tcPr>
            <w:tcW w:type="dxa" w:w="7229"/>
            <w:shd w:fill="112345"/>
            <w:tcMar>
              <w:top w:w="55" w:type="dxa"/>
              <w:start w:w="60" w:type="dxa"/>
              <w:bottom w:w="55" w:type="dxa"/>
              <w:end w:w="60" w:type="dxa"/>
            </w:tcMar>
          </w:tcPr>
          <w:p>
            <w:pPr>
              <w:spacing w:after="0"/>
            </w:pPr>
            <w:r>
              <w:rPr>
                <w:rFonts w:ascii="Aptos" w:hAnsi="Aptos"/>
                <w:b/>
                <w:color w:val="FFFFFF"/>
                <w:sz w:val="14"/>
              </w:rPr>
              <w:t>Mandatory strengthening note</w:t>
            </w:r>
          </w:p>
        </w:tc>
      </w:tr>
      <w:tr>
        <w:trPr>
          <w:cantSplit/>
        </w:trPr>
        <w:tc>
          <w:tcPr>
            <w:tcW w:type="dxa" w:w="7229"/>
            <w:vAlign w:val="top"/>
            <w:tcMar>
              <w:top w:w="55" w:type="dxa"/>
              <w:start w:w="60" w:type="dxa"/>
              <w:bottom w:w="55" w:type="dxa"/>
              <w:end w:w="60" w:type="dxa"/>
            </w:tcMar>
          </w:tcPr>
          <w:p>
            <w:pPr>
              <w:spacing w:after="0" w:line="223" w:lineRule="auto"/>
            </w:pPr>
            <w:r>
              <w:rPr>
                <w:rFonts w:ascii="Aptos" w:hAnsi="Aptos"/>
                <w:color w:val="202833"/>
                <w:sz w:val="16"/>
              </w:rPr>
              <w:t>Video 8 — direct experience</w:t>
            </w:r>
          </w:p>
        </w:tc>
        <w:tc>
          <w:tcPr>
            <w:tcW w:type="dxa" w:w="7229"/>
            <w:vAlign w:val="top"/>
            <w:tcMar>
              <w:top w:w="55" w:type="dxa"/>
              <w:start w:w="60" w:type="dxa"/>
              <w:bottom w:w="55" w:type="dxa"/>
              <w:end w:w="60" w:type="dxa"/>
            </w:tcMar>
          </w:tcPr>
          <w:p>
            <w:pPr>
              <w:spacing w:after="0" w:line="223" w:lineRule="auto"/>
            </w:pPr>
            <w:r>
              <w:rPr>
                <w:rFonts w:ascii="Aptos" w:hAnsi="Aptos"/>
                <w:color w:val="202833"/>
                <w:sz w:val="16"/>
              </w:rPr>
              <w:t>Keep the topic and Capability / Context / Credential logic. Recognition must name the pain that desired roles keep asking for direct industry experience. Distinguish what travels, context that can be learned, genuinely required credentials/domain knowledge and “direct experience” used as hiring-risk shorthand. Do not dismiss legitimate requirements.</w:t>
            </w:r>
          </w:p>
        </w:tc>
      </w:tr>
      <w:tr>
        <w:trPr>
          <w:cantSplit/>
        </w:trPr>
        <w:tc>
          <w:tcPr>
            <w:tcW w:type="dxa" w:w="7229"/>
            <w:vAlign w:val="top"/>
            <w:tcMar>
              <w:top w:w="55" w:type="dxa"/>
              <w:start w:w="60" w:type="dxa"/>
              <w:bottom w:w="55" w:type="dxa"/>
              <w:end w:w="60" w:type="dxa"/>
            </w:tcMar>
          </w:tcPr>
          <w:p>
            <w:pPr>
              <w:spacing w:after="0" w:line="223" w:lineRule="auto"/>
            </w:pPr>
            <w:r>
              <w:rPr>
                <w:rFonts w:ascii="Aptos" w:hAnsi="Aptos"/>
                <w:color w:val="202833"/>
                <w:sz w:val="16"/>
              </w:rPr>
              <w:t>Video 13 — title test</w:t>
            </w:r>
          </w:p>
        </w:tc>
        <w:tc>
          <w:tcPr>
            <w:tcW w:type="dxa" w:w="7229"/>
            <w:vAlign w:val="top"/>
            <w:tcMar>
              <w:top w:w="55" w:type="dxa"/>
              <w:start w:w="60" w:type="dxa"/>
              <w:bottom w:w="55" w:type="dxa"/>
              <w:end w:w="60" w:type="dxa"/>
            </w:tcMar>
          </w:tcPr>
          <w:p>
            <w:pPr>
              <w:spacing w:after="0" w:line="223" w:lineRule="auto"/>
            </w:pPr>
            <w:r>
              <w:rPr>
                <w:rFonts w:ascii="Aptos" w:hAnsi="Aptos"/>
                <w:color w:val="202833"/>
                <w:sz w:val="16"/>
              </w:rPr>
              <w:t>Keep the underlying hiring-manager trust argument. Before production, compare the current title with “How to Get Hired Without Direct Industry Experience.” Test search clarity, audience recognition and differentiation; do not automatically replace the current title.</w:t>
            </w:r>
          </w:p>
        </w:tc>
      </w:tr>
      <w:tr>
        <w:trPr>
          <w:cantSplit/>
        </w:trPr>
        <w:tc>
          <w:tcPr>
            <w:tcW w:type="dxa" w:w="7229"/>
            <w:vAlign w:val="top"/>
            <w:tcMar>
              <w:top w:w="55" w:type="dxa"/>
              <w:start w:w="60" w:type="dxa"/>
              <w:bottom w:w="55" w:type="dxa"/>
              <w:end w:w="60" w:type="dxa"/>
            </w:tcMar>
          </w:tcPr>
          <w:p>
            <w:pPr>
              <w:spacing w:after="0" w:line="223" w:lineRule="auto"/>
            </w:pPr>
            <w:r>
              <w:rPr>
                <w:rFonts w:ascii="Aptos" w:hAnsi="Aptos"/>
                <w:color w:val="202833"/>
                <w:sz w:val="16"/>
              </w:rPr>
              <w:t>Video 14 — RESEARCH REQUIRED</w:t>
            </w:r>
          </w:p>
        </w:tc>
        <w:tc>
          <w:tcPr>
            <w:tcW w:type="dxa" w:w="7229"/>
            <w:vAlign w:val="top"/>
            <w:tcMar>
              <w:top w:w="55" w:type="dxa"/>
              <w:start w:w="60" w:type="dxa"/>
              <w:bottom w:w="55" w:type="dxa"/>
              <w:end w:w="60" w:type="dxa"/>
            </w:tcMar>
          </w:tcPr>
          <w:p>
            <w:pPr>
              <w:spacing w:after="0" w:line="223" w:lineRule="auto"/>
            </w:pPr>
            <w:r>
              <w:rPr>
                <w:rFonts w:ascii="Aptos" w:hAnsi="Aptos"/>
                <w:color w:val="202833"/>
                <w:sz w:val="16"/>
              </w:rPr>
              <w:t>Do not script factual findings until 30 real current senior-level job descriptions are collected and documented. Code each requirement as portable; contextual/domain-specific; credential; explicit direct-experience requirement; or ambiguous/hiring-risk language. Show Temidayo reasoning through the evidence. Never manufacture findings.</w:t>
            </w:r>
          </w:p>
        </w:tc>
      </w:tr>
      <w:tr>
        <w:trPr>
          <w:cantSplit/>
        </w:trPr>
        <w:tc>
          <w:tcPr>
            <w:tcW w:type="dxa" w:w="7229"/>
            <w:vAlign w:val="top"/>
            <w:tcMar>
              <w:top w:w="55" w:type="dxa"/>
              <w:start w:w="60" w:type="dxa"/>
              <w:bottom w:w="55" w:type="dxa"/>
              <w:end w:w="60" w:type="dxa"/>
            </w:tcMar>
          </w:tcPr>
          <w:p>
            <w:pPr>
              <w:spacing w:after="0" w:line="223" w:lineRule="auto"/>
            </w:pPr>
            <w:r>
              <w:rPr>
                <w:rFonts w:ascii="Aptos" w:hAnsi="Aptos"/>
                <w:color w:val="202833"/>
                <w:sz w:val="16"/>
              </w:rPr>
              <w:t>Video 19 — employer trust / recency</w:t>
            </w:r>
          </w:p>
        </w:tc>
        <w:tc>
          <w:tcPr>
            <w:tcW w:type="dxa" w:w="7229"/>
            <w:vAlign w:val="top"/>
            <w:tcMar>
              <w:top w:w="55" w:type="dxa"/>
              <w:start w:w="60" w:type="dxa"/>
              <w:bottom w:w="55" w:type="dxa"/>
              <w:end w:w="60" w:type="dxa"/>
            </w:tcMar>
          </w:tcPr>
          <w:p>
            <w:pPr>
              <w:spacing w:after="0" w:line="223" w:lineRule="auto"/>
            </w:pPr>
            <w:r>
              <w:rPr>
                <w:rFonts w:ascii="Aptos" w:hAnsi="Aptos"/>
                <w:color w:val="202833"/>
                <w:sz w:val="16"/>
              </w:rPr>
              <w:t>Add the question: “My experience is real, but is it recent enough or direct enough for this employer to trust?” Show what still travels, what evidence remains credible, what needs refreshing and what genuinely must be relearned.</w:t>
            </w:r>
          </w:p>
        </w:tc>
      </w:tr>
      <w:tr>
        <w:trPr>
          <w:cantSplit/>
        </w:trPr>
        <w:tc>
          <w:tcPr>
            <w:tcW w:type="dxa" w:w="7229"/>
            <w:vAlign w:val="top"/>
            <w:tcMar>
              <w:top w:w="55" w:type="dxa"/>
              <w:start w:w="60" w:type="dxa"/>
              <w:bottom w:w="55" w:type="dxa"/>
              <w:end w:w="60" w:type="dxa"/>
            </w:tcMar>
          </w:tcPr>
          <w:p>
            <w:pPr>
              <w:spacing w:after="0" w:line="223" w:lineRule="auto"/>
            </w:pPr>
            <w:r>
              <w:rPr>
                <w:rFonts w:ascii="Aptos" w:hAnsi="Aptos"/>
                <w:color w:val="202833"/>
                <w:sz w:val="16"/>
              </w:rPr>
              <w:t>Video 30 — make starting over concrete</w:t>
            </w:r>
          </w:p>
        </w:tc>
        <w:tc>
          <w:tcPr>
            <w:tcW w:type="dxa" w:w="7229"/>
            <w:vAlign w:val="top"/>
            <w:tcMar>
              <w:top w:w="55" w:type="dxa"/>
              <w:start w:w="60" w:type="dxa"/>
              <w:bottom w:w="55" w:type="dxa"/>
              <w:end w:w="60" w:type="dxa"/>
            </w:tcMar>
          </w:tcPr>
          <w:p>
            <w:pPr>
              <w:spacing w:after="0" w:line="223" w:lineRule="auto"/>
            </w:pPr>
            <w:r>
              <w:rPr>
                <w:rFonts w:ascii="Aptos" w:hAnsi="Aptos"/>
                <w:color w:val="202833"/>
                <w:sz w:val="16"/>
              </w:rPr>
              <w:t>Separate restart by finances, title, scope, context and actual capability. Do not treat them as the same thing. The viewer should know what is being carried, what is being traded away and what is genuinely being rebuilt.</w:t>
            </w:r>
          </w:p>
        </w:tc>
      </w:tr>
    </w:tbl>
    <w:p>
      <w:pPr>
        <w:spacing w:before="120" w:after="80"/>
      </w:pPr>
      <w:r>
        <w:rPr>
          <w:rFonts w:ascii="Georgia" w:hAnsi="Georgia"/>
          <w:b/>
          <w:color w:val="112345"/>
          <w:sz w:val="31"/>
        </w:rPr>
        <w:t>9. Future topic queue — ranked, not inserted automatically</w:t>
      </w:r>
    </w:p>
    <w:tbl>
      <w:tblPr>
        <w:tblStyle w:val="TableGrid"/>
        <w:tblW w:type="auto" w:w="0"/>
        <w:jc w:val="center"/>
        <w:tblLook w:firstColumn="1" w:firstRow="1" w:lastColumn="0" w:lastRow="0" w:noHBand="0" w:noVBand="1" w:val="04A0"/>
      </w:tblPr>
      <w:tblGrid>
        <w:gridCol w:w="4819"/>
        <w:gridCol w:w="4819"/>
        <w:gridCol w:w="4819"/>
      </w:tblGrid>
      <w:tr>
        <w:trPr>
          <w:tblHeader w:val="true"/>
          <w:cantSplit/>
        </w:trPr>
        <w:tc>
          <w:tcPr>
            <w:tcW w:type="dxa" w:w="4819"/>
            <w:shd w:fill="112345"/>
            <w:tcMar>
              <w:top w:w="55" w:type="dxa"/>
              <w:start w:w="60" w:type="dxa"/>
              <w:bottom w:w="55" w:type="dxa"/>
              <w:end w:w="60" w:type="dxa"/>
            </w:tcMar>
          </w:tcPr>
          <w:p>
            <w:pPr>
              <w:spacing w:after="0"/>
            </w:pPr>
            <w:r>
              <w:rPr>
                <w:rFonts w:ascii="Aptos" w:hAnsi="Aptos"/>
                <w:b/>
                <w:color w:val="FFFFFF"/>
                <w:sz w:val="14"/>
              </w:rPr>
              <w:t>Rank</w:t>
            </w:r>
          </w:p>
        </w:tc>
        <w:tc>
          <w:tcPr>
            <w:tcW w:type="dxa" w:w="4819"/>
            <w:shd w:fill="112345"/>
            <w:tcMar>
              <w:top w:w="55" w:type="dxa"/>
              <w:start w:w="60" w:type="dxa"/>
              <w:bottom w:w="55" w:type="dxa"/>
              <w:end w:w="60" w:type="dxa"/>
            </w:tcMar>
          </w:tcPr>
          <w:p>
            <w:pPr>
              <w:spacing w:after="0"/>
            </w:pPr>
            <w:r>
              <w:rPr>
                <w:rFonts w:ascii="Aptos" w:hAnsi="Aptos"/>
                <w:b/>
                <w:color w:val="FFFFFF"/>
                <w:sz w:val="14"/>
              </w:rPr>
              <w:t>Future question</w:t>
            </w:r>
          </w:p>
        </w:tc>
        <w:tc>
          <w:tcPr>
            <w:tcW w:type="dxa" w:w="4819"/>
            <w:shd w:fill="112345"/>
            <w:tcMar>
              <w:top w:w="55" w:type="dxa"/>
              <w:start w:w="60" w:type="dxa"/>
              <w:bottom w:w="55" w:type="dxa"/>
              <w:end w:w="60" w:type="dxa"/>
            </w:tcMar>
          </w:tcPr>
          <w:p>
            <w:pPr>
              <w:spacing w:after="0"/>
            </w:pPr>
            <w:r>
              <w:rPr>
                <w:rFonts w:ascii="Aptos" w:hAnsi="Aptos"/>
                <w:b/>
                <w:color w:val="FFFFFF"/>
                <w:sz w:val="14"/>
              </w:rPr>
              <w:t>Implementation note</w:t>
            </w:r>
          </w:p>
        </w:tc>
      </w:tr>
      <w:tr>
        <w:trPr>
          <w:cantSplit/>
        </w:trPr>
        <w:tc>
          <w:tcPr>
            <w:tcW w:type="dxa" w:w="4819"/>
            <w:vAlign w:val="top"/>
            <w:tcMar>
              <w:top w:w="55" w:type="dxa"/>
              <w:start w:w="60" w:type="dxa"/>
              <w:bottom w:w="55" w:type="dxa"/>
              <w:end w:w="60" w:type="dxa"/>
            </w:tcMar>
          </w:tcPr>
          <w:p>
            <w:pPr>
              <w:spacing w:after="0" w:line="223" w:lineRule="auto"/>
            </w:pPr>
            <w:r>
              <w:rPr>
                <w:rFonts w:ascii="Aptos" w:hAnsi="Aptos"/>
                <w:color w:val="202833"/>
                <w:sz w:val="15"/>
              </w:rPr>
              <w:t>1</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Will I Have to Take a Pay Cut to Change Careers?</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Genuine coverage gap. Explore financial reset vs contextual/capability reset; do not promise salary preservation.</w:t>
            </w:r>
          </w:p>
        </w:tc>
      </w:tr>
      <w:tr>
        <w:trPr>
          <w:cantSplit/>
        </w:trPr>
        <w:tc>
          <w:tcPr>
            <w:tcW w:type="dxa" w:w="4819"/>
            <w:vAlign w:val="top"/>
            <w:tcMar>
              <w:top w:w="55" w:type="dxa"/>
              <w:start w:w="60" w:type="dxa"/>
              <w:bottom w:w="55" w:type="dxa"/>
              <w:end w:w="60" w:type="dxa"/>
            </w:tcMar>
          </w:tcPr>
          <w:p>
            <w:pPr>
              <w:spacing w:after="0" w:line="223" w:lineRule="auto"/>
            </w:pPr>
            <w:r>
              <w:rPr>
                <w:rFonts w:ascii="Aptos" w:hAnsi="Aptos"/>
                <w:color w:val="202833"/>
                <w:sz w:val="15"/>
              </w:rPr>
              <w:t>2</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How to Pivot After a Layoff Without Starting Over</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Acute-transition doorway. Distinct from Video 9, which is preparedness before a layoff.</w:t>
            </w:r>
          </w:p>
        </w:tc>
      </w:tr>
      <w:tr>
        <w:trPr>
          <w:cantSplit/>
        </w:trPr>
        <w:tc>
          <w:tcPr>
            <w:tcW w:type="dxa" w:w="4819"/>
            <w:vAlign w:val="top"/>
            <w:tcMar>
              <w:top w:w="55" w:type="dxa"/>
              <w:start w:w="60" w:type="dxa"/>
              <w:bottom w:w="55" w:type="dxa"/>
              <w:end w:w="60" w:type="dxa"/>
            </w:tcMar>
          </w:tcPr>
          <w:p>
            <w:pPr>
              <w:spacing w:after="0" w:line="223" w:lineRule="auto"/>
            </w:pPr>
            <w:r>
              <w:rPr>
                <w:rFonts w:ascii="Aptos" w:hAnsi="Aptos"/>
                <w:color w:val="202833"/>
                <w:sz w:val="15"/>
              </w:rPr>
              <w:t>3</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Do I Need to Take a Lower Title to Change Industries?</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Separate title reset from genuine capability/context rebuilding.</w:t>
            </w:r>
          </w:p>
        </w:tc>
      </w:tr>
      <w:tr>
        <w:trPr>
          <w:cantSplit/>
        </w:trPr>
        <w:tc>
          <w:tcPr>
            <w:tcW w:type="dxa" w:w="4819"/>
            <w:vAlign w:val="top"/>
            <w:tcMar>
              <w:top w:w="55" w:type="dxa"/>
              <w:start w:w="60" w:type="dxa"/>
              <w:bottom w:w="55" w:type="dxa"/>
              <w:end w:w="60" w:type="dxa"/>
            </w:tcMar>
          </w:tcPr>
          <w:p>
            <w:pPr>
              <w:spacing w:after="0" w:line="223" w:lineRule="auto"/>
            </w:pPr>
            <w:r>
              <w:rPr>
                <w:rFonts w:ascii="Aptos" w:hAnsi="Aptos"/>
                <w:color w:val="202833"/>
                <w:sz w:val="15"/>
              </w:rPr>
              <w:t>4</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How to Prove You Can Do a Job You Haven’t Done Before</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May merge with Video 13 rather than become standalone. Emphasize comparable evidence plus honest gaps.</w:t>
            </w:r>
          </w:p>
        </w:tc>
      </w:tr>
    </w:tbl>
    <w:p>
      <w:r>
        <w:br w:type="page"/>
      </w:r>
    </w:p>
    <w:p>
      <w:pPr>
        <w:spacing w:before="120" w:after="80"/>
      </w:pPr>
      <w:r>
        <w:rPr>
          <w:rFonts w:ascii="Georgia" w:hAnsi="Georgia"/>
          <w:b/>
          <w:color w:val="112345"/>
          <w:sz w:val="31"/>
        </w:rPr>
        <w:t>10. Sequencing logic</w:t>
      </w:r>
    </w:p>
    <w:tbl>
      <w:tblPr>
        <w:tblStyle w:val="TableGrid"/>
        <w:tblW w:type="auto" w:w="0"/>
        <w:jc w:val="center"/>
        <w:tblLook w:firstColumn="1" w:firstRow="1" w:lastColumn="0" w:lastRow="0" w:noHBand="0" w:noVBand="1" w:val="04A0"/>
      </w:tblPr>
      <w:tblGrid>
        <w:gridCol w:w="4819"/>
        <w:gridCol w:w="4819"/>
        <w:gridCol w:w="4819"/>
      </w:tblGrid>
      <w:tr>
        <w:trPr>
          <w:tblHeader w:val="true"/>
          <w:cantSplit/>
        </w:trPr>
        <w:tc>
          <w:tcPr>
            <w:tcW w:type="dxa" w:w="4819"/>
            <w:shd w:fill="112345"/>
            <w:tcMar>
              <w:top w:w="55" w:type="dxa"/>
              <w:start w:w="60" w:type="dxa"/>
              <w:bottom w:w="55" w:type="dxa"/>
              <w:end w:w="60" w:type="dxa"/>
            </w:tcMar>
          </w:tcPr>
          <w:p>
            <w:pPr>
              <w:spacing w:after="0"/>
            </w:pPr>
            <w:r>
              <w:rPr>
                <w:rFonts w:ascii="Aptos" w:hAnsi="Aptos"/>
                <w:b/>
                <w:color w:val="FFFFFF"/>
                <w:sz w:val="14"/>
              </w:rPr>
              <w:t>Run</w:t>
            </w:r>
          </w:p>
        </w:tc>
        <w:tc>
          <w:tcPr>
            <w:tcW w:type="dxa" w:w="4819"/>
            <w:shd w:fill="112345"/>
            <w:tcMar>
              <w:top w:w="55" w:type="dxa"/>
              <w:start w:w="60" w:type="dxa"/>
              <w:bottom w:w="55" w:type="dxa"/>
              <w:end w:w="60" w:type="dxa"/>
            </w:tcMar>
          </w:tcPr>
          <w:p>
            <w:pPr>
              <w:spacing w:after="0"/>
            </w:pPr>
            <w:r>
              <w:rPr>
                <w:rFonts w:ascii="Aptos" w:hAnsi="Aptos"/>
                <w:b/>
                <w:color w:val="FFFFFF"/>
                <w:sz w:val="14"/>
              </w:rPr>
              <w:t>Strategic job</w:t>
            </w:r>
          </w:p>
        </w:tc>
        <w:tc>
          <w:tcPr>
            <w:tcW w:type="dxa" w:w="4819"/>
            <w:shd w:fill="112345"/>
            <w:tcMar>
              <w:top w:w="55" w:type="dxa"/>
              <w:start w:w="60" w:type="dxa"/>
              <w:bottom w:w="55" w:type="dxa"/>
              <w:end w:w="60" w:type="dxa"/>
            </w:tcMar>
          </w:tcPr>
          <w:p>
            <w:pPr>
              <w:spacing w:after="0"/>
            </w:pPr>
            <w:r>
              <w:rPr>
                <w:rFonts w:ascii="Aptos" w:hAnsi="Aptos"/>
                <w:b/>
                <w:color w:val="FFFFFF"/>
                <w:sz w:val="14"/>
              </w:rPr>
              <w:t>What it accomplishes</w:t>
            </w:r>
          </w:p>
        </w:tc>
      </w:tr>
      <w:tr>
        <w:trPr>
          <w:cantSplit/>
        </w:trPr>
        <w:tc>
          <w:tcPr>
            <w:tcW w:type="dxa" w:w="4819"/>
            <w:vAlign w:val="top"/>
            <w:tcMar>
              <w:top w:w="55" w:type="dxa"/>
              <w:start w:w="60" w:type="dxa"/>
              <w:bottom w:w="55" w:type="dxa"/>
              <w:end w:w="60" w:type="dxa"/>
            </w:tcMar>
          </w:tcPr>
          <w:p>
            <w:pPr>
              <w:spacing w:after="0" w:line="223" w:lineRule="auto"/>
            </w:pPr>
            <w:r>
              <w:rPr>
                <w:rFonts w:ascii="Aptos" w:hAnsi="Aptos"/>
                <w:color w:val="202833"/>
                <w:sz w:val="15"/>
              </w:rPr>
              <w:t>1–7</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Foundation + first shelf</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Keep the strategy. Involuntary change → marketability → exit → translation → internal mobility → growth quality → invisible proof. Do not rebuild because of this research.</w:t>
            </w:r>
          </w:p>
        </w:tc>
      </w:tr>
      <w:tr>
        <w:trPr>
          <w:cantSplit/>
        </w:trPr>
        <w:tc>
          <w:tcPr>
            <w:tcW w:type="dxa" w:w="4819"/>
            <w:vAlign w:val="top"/>
            <w:tcMar>
              <w:top w:w="55" w:type="dxa"/>
              <w:start w:w="60" w:type="dxa"/>
              <w:bottom w:w="55" w:type="dxa"/>
              <w:end w:w="60" w:type="dxa"/>
            </w:tcMar>
          </w:tcPr>
          <w:p>
            <w:pPr>
              <w:spacing w:after="0" w:line="223" w:lineRule="auto"/>
            </w:pPr>
            <w:r>
              <w:rPr>
                <w:rFonts w:ascii="Aptos" w:hAnsi="Aptos"/>
                <w:color w:val="202833"/>
                <w:sz w:val="15"/>
              </w:rPr>
              <w:t>8–15</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Transition + preparedness + employer trust</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Industry change/direct experience, layoff preparedness, certification/relearning, constrained options, employer legibility, real job-description analysis and internal talent blindness.</w:t>
            </w:r>
          </w:p>
        </w:tc>
      </w:tr>
      <w:tr>
        <w:trPr>
          <w:cantSplit/>
        </w:trPr>
        <w:tc>
          <w:tcPr>
            <w:tcW w:type="dxa" w:w="4819"/>
            <w:vAlign w:val="top"/>
            <w:tcMar>
              <w:top w:w="55" w:type="dxa"/>
              <w:start w:w="60" w:type="dxa"/>
              <w:bottom w:w="55" w:type="dxa"/>
              <w:end w:w="60" w:type="dxa"/>
            </w:tcMar>
          </w:tcPr>
          <w:p>
            <w:pPr>
              <w:spacing w:after="0" w:line="223" w:lineRule="auto"/>
            </w:pPr>
            <w:r>
              <w:rPr>
                <w:rFonts w:ascii="Aptos" w:hAnsi="Aptos"/>
                <w:color w:val="202833"/>
                <w:sz w:val="15"/>
              </w:rPr>
              <w:t>16–23</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Future work + senior-path decisions</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AI, management, consulting, re-entry, promotion, flatter structures and senior growth while preserving the what-travels/what-must-be-relearned boundary.</w:t>
            </w:r>
          </w:p>
        </w:tc>
      </w:tr>
      <w:tr>
        <w:trPr>
          <w:cantSplit/>
        </w:trPr>
        <w:tc>
          <w:tcPr>
            <w:tcW w:type="dxa" w:w="4819"/>
            <w:vAlign w:val="top"/>
            <w:tcMar>
              <w:top w:w="55" w:type="dxa"/>
              <w:start w:w="60" w:type="dxa"/>
              <w:bottom w:w="55" w:type="dxa"/>
              <w:end w:w="60" w:type="dxa"/>
            </w:tcMar>
          </w:tcPr>
          <w:p>
            <w:pPr>
              <w:spacing w:after="0" w:line="223" w:lineRule="auto"/>
            </w:pPr>
            <w:r>
              <w:rPr>
                <w:rFonts w:ascii="Aptos" w:hAnsi="Aptos"/>
                <w:color w:val="202833"/>
                <w:sz w:val="15"/>
              </w:rPr>
              <w:t>24–30</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Authority + category building</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Repeated-trust case, AI-development thesis, stretch quality, readiness mechanics, audience casework and capstone tradeoffs.</w:t>
            </w:r>
          </w:p>
        </w:tc>
      </w:tr>
    </w:tbl>
    <w:p>
      <w:pPr>
        <w:spacing w:before="120" w:after="80"/>
      </w:pPr>
      <w:r>
        <w:rPr>
          <w:rFonts w:ascii="Georgia" w:hAnsi="Georgia"/>
          <w:b/>
          <w:color w:val="112345"/>
          <w:sz w:val="31"/>
        </w:rPr>
        <w:t>11. CTA routing — keep</w:t>
      </w:r>
    </w:p>
    <w:tbl>
      <w:tblPr>
        <w:tblStyle w:val="TableGrid"/>
        <w:tblW w:type="auto" w:w="0"/>
        <w:jc w:val="center"/>
        <w:tblLook w:firstColumn="1" w:firstRow="1" w:lastColumn="0" w:lastRow="0" w:noHBand="0" w:noVBand="1" w:val="04A0"/>
      </w:tblPr>
      <w:tblGrid>
        <w:gridCol w:w="4819"/>
        <w:gridCol w:w="4819"/>
        <w:gridCol w:w="4819"/>
      </w:tblGrid>
      <w:tr>
        <w:trPr>
          <w:tblHeader w:val="true"/>
          <w:cantSplit/>
        </w:trPr>
        <w:tc>
          <w:tcPr>
            <w:tcW w:type="dxa" w:w="4819"/>
            <w:shd w:fill="112345"/>
            <w:tcMar>
              <w:top w:w="55" w:type="dxa"/>
              <w:start w:w="60" w:type="dxa"/>
              <w:bottom w:w="55" w:type="dxa"/>
              <w:end w:w="60" w:type="dxa"/>
            </w:tcMar>
          </w:tcPr>
          <w:p>
            <w:pPr>
              <w:spacing w:after="0"/>
            </w:pPr>
            <w:r>
              <w:rPr>
                <w:rFonts w:ascii="Aptos" w:hAnsi="Aptos"/>
                <w:b/>
                <w:color w:val="FFFFFF"/>
                <w:sz w:val="14"/>
              </w:rPr>
              <w:t>Route</w:t>
            </w:r>
          </w:p>
        </w:tc>
        <w:tc>
          <w:tcPr>
            <w:tcW w:type="dxa" w:w="4819"/>
            <w:shd w:fill="112345"/>
            <w:tcMar>
              <w:top w:w="55" w:type="dxa"/>
              <w:start w:w="60" w:type="dxa"/>
              <w:bottom w:w="55" w:type="dxa"/>
              <w:end w:w="60" w:type="dxa"/>
            </w:tcMar>
          </w:tcPr>
          <w:p>
            <w:pPr>
              <w:spacing w:after="0"/>
            </w:pPr>
            <w:r>
              <w:rPr>
                <w:rFonts w:ascii="Aptos" w:hAnsi="Aptos"/>
                <w:b/>
                <w:color w:val="FFFFFF"/>
                <w:sz w:val="14"/>
              </w:rPr>
              <w:t>Identity job</w:t>
            </w:r>
          </w:p>
        </w:tc>
        <w:tc>
          <w:tcPr>
            <w:tcW w:type="dxa" w:w="4819"/>
            <w:shd w:fill="112345"/>
            <w:tcMar>
              <w:top w:w="55" w:type="dxa"/>
              <w:start w:w="60" w:type="dxa"/>
              <w:bottom w:w="55" w:type="dxa"/>
              <w:end w:w="60" w:type="dxa"/>
            </w:tcMar>
          </w:tcPr>
          <w:p>
            <w:pPr>
              <w:spacing w:after="0"/>
            </w:pPr>
            <w:r>
              <w:rPr>
                <w:rFonts w:ascii="Aptos" w:hAnsi="Aptos"/>
                <w:b/>
                <w:color w:val="FFFFFF"/>
                <w:sz w:val="14"/>
              </w:rPr>
              <w:t>Videos</w:t>
            </w:r>
          </w:p>
        </w:tc>
      </w:tr>
      <w:tr>
        <w:trPr>
          <w:cantSplit/>
        </w:trPr>
        <w:tc>
          <w:tcPr>
            <w:tcW w:type="dxa" w:w="4819"/>
            <w:vAlign w:val="top"/>
            <w:tcMar>
              <w:top w:w="55" w:type="dxa"/>
              <w:start w:w="60" w:type="dxa"/>
              <w:bottom w:w="55" w:type="dxa"/>
              <w:end w:w="60" w:type="dxa"/>
            </w:tcMar>
          </w:tcPr>
          <w:p>
            <w:pPr>
              <w:spacing w:after="0" w:line="223" w:lineRule="auto"/>
            </w:pPr>
            <w:r>
              <w:rPr>
                <w:rFonts w:ascii="Aptos" w:hAnsi="Aptos"/>
                <w:color w:val="202833"/>
                <w:sz w:val="15"/>
              </w:rPr>
              <w:t>Career Evidence Starter</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Recognize and articulate one portable Proof Line.</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1, 4, 13, 14, 19, 24, 27</w:t>
            </w:r>
          </w:p>
        </w:tc>
      </w:tr>
      <w:tr>
        <w:trPr>
          <w:cantSplit/>
        </w:trPr>
        <w:tc>
          <w:tcPr>
            <w:tcW w:type="dxa" w:w="4819"/>
            <w:vAlign w:val="top"/>
            <w:tcMar>
              <w:top w:w="55" w:type="dxa"/>
              <w:start w:w="60" w:type="dxa"/>
              <w:bottom w:w="55" w:type="dxa"/>
              <w:end w:w="60" w:type="dxa"/>
            </w:tcMar>
          </w:tcPr>
          <w:p>
            <w:pPr>
              <w:spacing w:after="0" w:line="223" w:lineRule="auto"/>
            </w:pPr>
            <w:r>
              <w:rPr>
                <w:rFonts w:ascii="Aptos" w:hAnsi="Aptos"/>
                <w:color w:val="202833"/>
                <w:sz w:val="15"/>
              </w:rPr>
              <w:t>Keep the Proof</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Preserve a fuller evidence record before details/access disappear.</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7, 9</w:t>
            </w:r>
          </w:p>
        </w:tc>
      </w:tr>
      <w:tr>
        <w:trPr>
          <w:cantSplit/>
        </w:trPr>
        <w:tc>
          <w:tcPr>
            <w:tcW w:type="dxa" w:w="4819"/>
            <w:vAlign w:val="top"/>
            <w:tcMar>
              <w:top w:w="55" w:type="dxa"/>
              <w:start w:w="60" w:type="dxa"/>
              <w:bottom w:w="55" w:type="dxa"/>
              <w:end w:w="60" w:type="dxa"/>
            </w:tcMar>
          </w:tcPr>
          <w:p>
            <w:pPr>
              <w:spacing w:after="0" w:line="223" w:lineRule="auto"/>
            </w:pPr>
            <w:r>
              <w:rPr>
                <w:rFonts w:ascii="Aptos" w:hAnsi="Aptos"/>
                <w:color w:val="202833"/>
                <w:sz w:val="15"/>
              </w:rPr>
              <w:t>Field Kit</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Read what current work is building, what travels and whether options are expanding/narrowing.</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2, 6, 8, 10, 12, 16, 20, 22, 23, 25, 26, 28</w:t>
            </w:r>
          </w:p>
        </w:tc>
      </w:tr>
      <w:tr>
        <w:trPr>
          <w:cantSplit/>
        </w:trPr>
        <w:tc>
          <w:tcPr>
            <w:tcW w:type="dxa" w:w="4819"/>
            <w:vAlign w:val="top"/>
            <w:tcMar>
              <w:top w:w="55" w:type="dxa"/>
              <w:start w:w="60" w:type="dxa"/>
              <w:bottom w:w="55" w:type="dxa"/>
              <w:end w:w="60" w:type="dxa"/>
            </w:tcMar>
          </w:tcPr>
          <w:p>
            <w:pPr>
              <w:spacing w:after="0" w:line="223" w:lineRule="auto"/>
            </w:pPr>
            <w:r>
              <w:rPr>
                <w:rFonts w:ascii="Aptos" w:hAnsi="Aptos"/>
                <w:color w:val="202833"/>
                <w:sz w:val="15"/>
              </w:rPr>
              <w:t>Career Decision Evidence Check</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Organize evidence behind a consequential stay/move/leave/manage/consult choice.</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3, 5, 11, 17, 18, 21, 29, 30</w:t>
            </w:r>
          </w:p>
        </w:tc>
      </w:tr>
      <w:tr>
        <w:trPr>
          <w:cantSplit/>
        </w:trPr>
        <w:tc>
          <w:tcPr>
            <w:tcW w:type="dxa" w:w="4819"/>
            <w:vAlign w:val="top"/>
            <w:tcMar>
              <w:top w:w="55" w:type="dxa"/>
              <w:start w:w="60" w:type="dxa"/>
              <w:bottom w:w="55" w:type="dxa"/>
              <w:end w:w="60" w:type="dxa"/>
            </w:tcMar>
          </w:tcPr>
          <w:p>
            <w:pPr>
              <w:spacing w:after="0" w:line="223" w:lineRule="auto"/>
            </w:pPr>
            <w:r>
              <w:rPr>
                <w:rFonts w:ascii="Aptos" w:hAnsi="Aptos"/>
                <w:color w:val="202833"/>
                <w:sz w:val="15"/>
              </w:rPr>
              <w:t>Soft / Book</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Organizational capability, talent systems or institutional visibility.</w:t>
            </w:r>
          </w:p>
        </w:tc>
        <w:tc>
          <w:tcPr>
            <w:tcW w:type="dxa" w:w="4819"/>
            <w:vAlign w:val="top"/>
            <w:tcMar>
              <w:top w:w="55" w:type="dxa"/>
              <w:start w:w="60" w:type="dxa"/>
              <w:bottom w:w="55" w:type="dxa"/>
              <w:end w:w="60" w:type="dxa"/>
            </w:tcMar>
          </w:tcPr>
          <w:p>
            <w:pPr>
              <w:spacing w:after="0" w:line="223" w:lineRule="auto"/>
            </w:pPr>
            <w:r>
              <w:rPr>
                <w:rFonts w:ascii="Aptos" w:hAnsi="Aptos"/>
                <w:color w:val="202833"/>
                <w:sz w:val="15"/>
              </w:rPr>
              <w:t>15</w:t>
            </w:r>
          </w:p>
        </w:tc>
      </w:tr>
    </w:tbl>
    <w:p>
      <w:pPr>
        <w:spacing w:after="80" w:line="245" w:lineRule="auto"/>
      </w:pPr>
      <w:r>
        <w:rPr>
          <w:rFonts w:ascii="Aptos" w:hAnsi="Aptos"/>
          <w:i w:val="0"/>
          <w:color w:val="202833"/>
          <w:sz w:val="18"/>
        </w:rPr>
        <w:t>No CTA stacking. Route by viewer stage and the job of the video, not by which product needs promotion.</w:t>
      </w:r>
    </w:p>
    <w:p>
      <w:pPr>
        <w:spacing w:before="120" w:after="80"/>
      </w:pPr>
      <w:r>
        <w:rPr>
          <w:rFonts w:ascii="Georgia" w:hAnsi="Georgia"/>
          <w:b/>
          <w:color w:val="112345"/>
          <w:sz w:val="31"/>
        </w:rPr>
        <w:t>12. Thumbnail system — keep</w:t>
      </w:r>
    </w:p>
    <w:p>
      <w:pPr>
        <w:spacing w:after="80" w:line="245" w:lineRule="auto"/>
      </w:pPr>
      <w:r>
        <w:rPr>
          <w:rFonts w:ascii="Aptos" w:hAnsi="Aptos"/>
          <w:i w:val="0"/>
          <w:color w:val="202833"/>
          <w:sz w:val="18"/>
        </w:rPr>
        <w:t>The research does not justify more dramatic packaging. The bigger gain is the spoken opening naming the lived pain underneath the thumbnail.</w:t>
      </w:r>
    </w:p>
    <w:p>
      <w:pPr>
        <w:spacing w:after="80" w:line="245" w:lineRule="auto"/>
      </w:pPr>
      <w:r>
        <w:rPr>
          <w:rFonts w:ascii="Aptos" w:hAnsi="Aptos"/>
          <w:i w:val="0"/>
          <w:color w:val="202833"/>
          <w:sz w:val="18"/>
        </w:rPr>
        <w:t>First-shelf copy remains: DON’T START FROM ZERO • VALUABLE HERE. STUCK HERE? • WAIT BEFORE YOU QUIT • YOUR CAREER MAKES SENSE • YOU MAY NOT NEED TO LEAVE • MORE WORK ≠ GROWTH • MAKE INVISIBLE WORK VISIBLE • YOUR EXPERIENCE STILL COUNTS.</w:t>
      </w:r>
    </w:p>
    <w:p>
      <w:pPr>
        <w:spacing w:after="80" w:line="245" w:lineRule="auto"/>
      </w:pPr>
      <w:r>
        <w:rPr>
          <w:rFonts w:ascii="Aptos" w:hAnsi="Aptos"/>
          <w:i w:val="0"/>
          <w:color w:val="202833"/>
          <w:sz w:val="18"/>
        </w:rPr>
        <w:t>Brand: exact deep navy #112345. Use approved existing cream/gold values. Real Temidayo photography. Thumbnail = recognition/tension/future identity, not a second title.</w:t>
      </w:r>
    </w:p>
    <w:p>
      <w:r>
        <w:br w:type="page"/>
      </w:r>
    </w:p>
    <w:p>
      <w:pPr>
        <w:spacing w:before="120" w:after="80"/>
      </w:pPr>
      <w:r>
        <w:rPr>
          <w:rFonts w:ascii="Georgia" w:hAnsi="Georgia"/>
          <w:b/>
          <w:color w:val="112345"/>
          <w:sz w:val="31"/>
        </w:rPr>
        <w:t>13. Production + source-of-truth rules</w:t>
      </w:r>
    </w:p>
    <w:p>
      <w:pPr>
        <w:pStyle w:val="ListBullet"/>
        <w:spacing w:after="40"/>
      </w:pPr>
      <w:r>
        <w:rPr>
          <w:rFonts w:ascii="Aptos" w:hAnsi="Aptos"/>
          <w:color w:val="202833"/>
          <w:sz w:val="17"/>
        </w:rPr>
        <w:t>Videos 1–5: v5.1 architecture is approved. Do NOT rebuild because of this research. Complete only the already-identified narrow v5.1.1 precision/evidence cleanup, then record/publish and gather audience evidence.</w:t>
      </w:r>
    </w:p>
    <w:p>
      <w:pPr>
        <w:pStyle w:val="ListBullet"/>
        <w:spacing w:after="40"/>
      </w:pPr>
      <w:r>
        <w:rPr>
          <w:rFonts w:ascii="Aptos" w:hAnsi="Aptos"/>
          <w:color w:val="202833"/>
          <w:sz w:val="17"/>
        </w:rPr>
        <w:t>Videos 6–7: keep current strategic sequence. Do not rebuild because of this research.</w:t>
      </w:r>
    </w:p>
    <w:p>
      <w:pPr>
        <w:pStyle w:val="ListBullet"/>
        <w:spacing w:after="40"/>
      </w:pPr>
      <w:r>
        <w:rPr>
          <w:rFonts w:ascii="Aptos" w:hAnsi="Aptos"/>
          <w:color w:val="202833"/>
          <w:sz w:val="17"/>
        </w:rPr>
        <w:t>Video 8: keep topic/framework; direct-experience strengthening is mandatory when production resumes.</w:t>
      </w:r>
    </w:p>
    <w:p>
      <w:pPr>
        <w:pStyle w:val="ListBullet"/>
        <w:spacing w:after="40"/>
      </w:pPr>
      <w:r>
        <w:rPr>
          <w:rFonts w:ascii="Aptos" w:hAnsi="Aptos"/>
          <w:color w:val="202833"/>
          <w:sz w:val="17"/>
        </w:rPr>
        <w:t>Videos 9–30: order/topics remain the forward roadmap. The notes for 13, 14, 19 and 30 in this document are mandatory source material.</w:t>
      </w:r>
    </w:p>
    <w:p>
      <w:pPr>
        <w:pStyle w:val="ListBullet"/>
        <w:spacing w:after="40"/>
      </w:pPr>
      <w:r>
        <w:rPr>
          <w:rFonts w:ascii="Aptos" w:hAnsi="Aptos"/>
          <w:color w:val="202833"/>
          <w:sz w:val="17"/>
        </w:rPr>
        <w:t>Video 14 is RESEARCH REQUIRED before scripting factual conclusions.</w:t>
      </w:r>
    </w:p>
    <w:p>
      <w:pPr>
        <w:pStyle w:val="ListBullet"/>
        <w:spacing w:after="40"/>
      </w:pPr>
      <w:r>
        <w:rPr>
          <w:rFonts w:ascii="Aptos" w:hAnsi="Aptos"/>
          <w:color w:val="202833"/>
          <w:sz w:val="17"/>
        </w:rPr>
        <w:t>Search-title wording may be tested before production without changing a topic’s strategic job.</w:t>
      </w:r>
    </w:p>
    <w:p>
      <w:pPr>
        <w:pStyle w:val="ListBullet"/>
        <w:spacing w:after="40"/>
      </w:pPr>
      <w:r>
        <w:rPr>
          <w:rFonts w:ascii="Aptos" w:hAnsi="Aptos"/>
          <w:color w:val="202833"/>
          <w:sz w:val="17"/>
        </w:rPr>
        <w:t>Before drafting, inspect this roadmap, latest factual boundaries, current artifacts/proof and newer explicit decisions. Never silently resolve conflicts.</w:t>
      </w:r>
    </w:p>
    <w:p>
      <w:pPr>
        <w:spacing w:before="120" w:after="80"/>
      </w:pPr>
      <w:r>
        <w:rPr>
          <w:rFonts w:ascii="Georgia" w:hAnsi="Georgia"/>
          <w:b/>
          <w:color w:val="112345"/>
          <w:sz w:val="31"/>
        </w:rPr>
        <w:t>14. Final test before any professional-facing video</w:t>
      </w:r>
    </w:p>
    <w:p>
      <w:pPr>
        <w:pStyle w:val="ListBullet"/>
        <w:spacing w:after="40"/>
      </w:pPr>
      <w:r>
        <w:rPr>
          <w:rFonts w:ascii="Aptos" w:hAnsi="Aptos"/>
          <w:color w:val="202833"/>
          <w:sz w:val="17"/>
        </w:rPr>
        <w:t>Does the opening identify a recognizable situation before teaching?</w:t>
      </w:r>
    </w:p>
    <w:p>
      <w:pPr>
        <w:pStyle w:val="ListBullet"/>
        <w:spacing w:after="40"/>
      </w:pPr>
      <w:r>
        <w:rPr>
          <w:rFonts w:ascii="Aptos" w:hAnsi="Aptos"/>
          <w:color w:val="202833"/>
          <w:sz w:val="17"/>
        </w:rPr>
        <w:t>Where relevant, is “does my experience still count / am I starting over?” legible?</w:t>
      </w:r>
    </w:p>
    <w:p>
      <w:pPr>
        <w:pStyle w:val="ListBullet"/>
        <w:spacing w:after="40"/>
      </w:pPr>
      <w:r>
        <w:rPr>
          <w:rFonts w:ascii="Aptos" w:hAnsi="Aptos"/>
          <w:color w:val="202833"/>
          <w:sz w:val="17"/>
        </w:rPr>
        <w:t>What travels? What does not? What can I prove? What must I relearn?</w:t>
      </w:r>
    </w:p>
    <w:p>
      <w:pPr>
        <w:pStyle w:val="ListBullet"/>
        <w:spacing w:after="40"/>
      </w:pPr>
      <w:r>
        <w:rPr>
          <w:rFonts w:ascii="Aptos" w:hAnsi="Aptos"/>
          <w:color w:val="202833"/>
          <w:sz w:val="17"/>
        </w:rPr>
        <w:t>What would make the other side trust that this experience is useful here?</w:t>
      </w:r>
    </w:p>
    <w:p>
      <w:pPr>
        <w:pStyle w:val="ListBullet"/>
        <w:spacing w:after="40"/>
      </w:pPr>
      <w:r>
        <w:rPr>
          <w:rFonts w:ascii="Aptos" w:hAnsi="Aptos"/>
          <w:color w:val="202833"/>
          <w:sz w:val="17"/>
        </w:rPr>
        <w:t>What evidence/proof mechanics make this more than generic career advice?</w:t>
      </w:r>
    </w:p>
    <w:p>
      <w:pPr>
        <w:pStyle w:val="ListBullet"/>
        <w:spacing w:after="40"/>
      </w:pPr>
      <w:r>
        <w:rPr>
          <w:rFonts w:ascii="Aptos" w:hAnsi="Aptos"/>
          <w:color w:val="202833"/>
          <w:sz w:val="17"/>
        </w:rPr>
        <w:t>Are external constraints acknowledged rather than implied to be controllable?</w:t>
      </w:r>
    </w:p>
    <w:p>
      <w:pPr>
        <w:pStyle w:val="ListBullet"/>
        <w:spacing w:after="40"/>
      </w:pPr>
      <w:r>
        <w:rPr>
          <w:rFonts w:ascii="Aptos" w:hAnsi="Aptos"/>
          <w:color w:val="202833"/>
          <w:sz w:val="17"/>
        </w:rPr>
        <w:t>Is the title/hook ordinary language a real person would recognize or search?</w:t>
      </w:r>
    </w:p>
    <w:p>
      <w:pPr>
        <w:pStyle w:val="ListBullet"/>
        <w:spacing w:after="40"/>
      </w:pPr>
      <w:r>
        <w:rPr>
          <w:rFonts w:ascii="Aptos" w:hAnsi="Aptos"/>
          <w:color w:val="202833"/>
          <w:sz w:val="17"/>
        </w:rPr>
        <w:t>Is Temidayo-specific evidence, judgment, artifact or organizational perspective doing necessary work?</w:t>
      </w:r>
    </w:p>
    <w:p>
      <w:pPr>
        <w:pStyle w:val="ListBullet"/>
        <w:spacing w:after="40"/>
      </w:pPr>
      <w:r>
        <w:rPr>
          <w:rFonts w:ascii="Aptos" w:hAnsi="Aptos"/>
          <w:color w:val="202833"/>
          <w:sz w:val="17"/>
        </w:rPr>
        <w:t>Does the CTA match the viewer’s stage and feel earned?</w:t>
      </w:r>
    </w:p>
    <w:p>
      <w:pPr>
        <w:pStyle w:val="ListBullet"/>
        <w:spacing w:after="40"/>
      </w:pPr>
      <w:r>
        <w:rPr>
          <w:rFonts w:ascii="Aptos" w:hAnsi="Aptos"/>
          <w:color w:val="202833"/>
          <w:sz w:val="17"/>
        </w:rPr>
        <w:t>Could a generic creator make the same video? If yes, strengthen it without inventing evidence.</w:t>
      </w:r>
    </w:p>
    <w:p>
      <w:pPr>
        <w:spacing w:before="200"/>
        <w:jc w:val="center"/>
      </w:pPr>
      <w:r>
        <w:rPr>
          <w:rFonts w:ascii="Aptos" w:hAnsi="Aptos"/>
          <w:b/>
          <w:color w:val="B08A45"/>
          <w:sz w:val="18"/>
        </w:rPr>
        <w:t>LOCKED NORTH STAR</w:t>
      </w:r>
    </w:p>
    <w:p>
      <w:pPr>
        <w:jc w:val="center"/>
      </w:pPr>
      <w:r>
        <w:rPr>
          <w:rFonts w:ascii="Georgia" w:hAnsi="Georgia"/>
          <w:b/>
          <w:color w:val="112345"/>
          <w:sz w:val="24"/>
        </w:rPr>
        <w:t>Some of what you have done will count. Some will not. Know the difference, prove what travels, and learn what the next context genuinely requires.</w:t>
      </w:r>
    </w:p>
    <w:sectPr w:rsidR="00FC693F" w:rsidRPr="0006063C" w:rsidSect="00034616">
      <w:headerReference w:type="default" r:id="rId9"/>
      <w:footerReference w:type="default" r:id="rId10"/>
      <w:pgSz w:w="15840" w:h="12240" w:orient="landscape"/>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0"/>
        <w:sz w:val="15"/>
      </w:rPr>
      <w:t>Research-aligned source of truth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12345"/>
        <w:sz w:val="16"/>
      </w:rPr>
      <w:t>CAPABILITY FORMATION  |  YOUTUBE ROADMAP v5.1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