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b/>
          <w:color w:val="0F2347"/>
          <w:sz w:val="36"/>
        </w:rPr>
        <w:t>Solo Facilitator Cognitive-Load Audit v1.1</w:t>
      </w:r>
    </w:p>
    <w:p>
      <w:pPr>
        <w:spacing w:after="80"/>
      </w:pPr>
      <w:r>
        <w:rPr>
          <w:b w:val="0"/>
          <w:i/>
          <w:color w:val="555555"/>
          <w:sz w:val="21"/>
        </w:rPr>
        <w:t>Decide Whether to Stay or Leave Your Job — The Capability Position Read</w:t>
      </w:r>
    </w:p>
    <w:p>
      <w:pPr>
        <w:spacing w:after="200"/>
      </w:pPr>
      <w:r>
        <w:rPr>
          <w:b/>
          <w:i w:val="0"/>
          <w:color w:val="B00000"/>
          <w:sz w:val="20"/>
        </w:rPr>
        <w:t>Reviews all 120 minutes for every point where Temidayo must perform more than one operational action while also teaching. Every AMBER/RED point carries a recommended simplification — never a recommendation to hire a producer or assign the problem to another person. "Raw risk" is the load as the session is structured; "Residual risk" is the load after the recommended fix (already built into the Facilitator Guide, Solo Run Sheet, Anonymous Poll Setup, and Control Card) is applied. Goal: zero unresolved RED items in the Residual Risk column.</w:t>
      </w:r>
    </w:p>
    <w:p>
      <w:pPr>
        <w:spacing w:after="200"/>
      </w:pPr>
      <w:r>
        <w:rPr>
          <w:b/>
          <w:i w:val="0"/>
          <w:color w:val="B00000"/>
          <w:sz w:val="19"/>
        </w:rPr>
        <w:t>v1.1 CORRECTION PATCH — re-run against the corrected architecture. Key changes from v1.0: the recording-toggle risk disappears entirely (first solo delivery uses no recording); anonymous polling drops from four required live screens to three; late admission is now controlled by a fixed minute-8 cutoff rather than a blanket "disable the waiting room" fix; corrected placement and sensitivity are one combined polling moment AFTER the procedure, never before it; state-cost selection is determined from the corrected-placement count (Poll B), not the uncalibrated first-placement count (Poll A); Part B readiness is confirmed by the anonymous operational readiness question, never by visually inspecting workbooks. A privacy-violating fallback is never classified as "manageable" — the only acceptable fallback for a failed anonymous poll is skipping the metric.</w:t>
      </w:r>
    </w:p>
    <w:p>
      <w:pPr>
        <w:spacing w:before="80" w:after="80"/>
      </w:pPr>
      <w:r>
        <w:rPr>
          <w:color w:val="555555"/>
          <w:sz w:val="16"/>
        </w:rPr>
        <w:t>―――――――――――――――――――――――――――――――――――――――――――――――――――――――――――――――――――――――――――――――――――――――――――――――</w:t>
      </w:r>
    </w:p>
    <w:p>
      <w:pPr>
        <w:keepNext/>
        <w:spacing w:before="320" w:after="80"/>
      </w:pPr>
      <w:r>
        <w:rPr>
          <w:b/>
          <w:color w:val="0F2347"/>
          <w:sz w:val="26"/>
        </w:rPr>
        <w:t>Classification key</w:t>
      </w:r>
    </w:p>
    <w:p>
      <w:pPr>
        <w:pStyle w:val="ListBullet"/>
        <w:spacing w:after="60"/>
      </w:pPr>
      <w:r>
        <w:rPr>
          <w:b/>
          <w:sz w:val="20"/>
        </w:rPr>
        <w:t xml:space="preserve">GREEN — </w:t>
      </w:r>
      <w:r>
        <w:rPr>
          <w:sz w:val="20"/>
        </w:rPr>
        <w:t>no concurrent operational load, or load fully absorbed by preloading already in place.</w:t>
      </w:r>
    </w:p>
    <w:p>
      <w:pPr>
        <w:pStyle w:val="ListBullet"/>
        <w:spacing w:after="60"/>
      </w:pPr>
      <w:r>
        <w:rPr>
          <w:b/>
          <w:sz w:val="20"/>
        </w:rPr>
        <w:t xml:space="preserve">AMBER — </w:t>
      </w:r>
      <w:r>
        <w:rPr>
          <w:sz w:val="20"/>
        </w:rPr>
        <w:t>genuine concurrent load, but manageable with the specific preloading/sequencing described in the Simplification column.</w:t>
      </w:r>
    </w:p>
    <w:p>
      <w:pPr>
        <w:pStyle w:val="ListBullet"/>
        <w:spacing w:after="60"/>
      </w:pPr>
      <w:r>
        <w:rPr>
          <w:b/>
          <w:sz w:val="20"/>
        </w:rPr>
        <w:t xml:space="preserve">RED (raw) — </w:t>
      </w:r>
      <w:r>
        <w:rPr>
          <w:sz w:val="20"/>
        </w:rPr>
        <w:t>too much for one facilitator as originally structured, before mitigation.</w:t>
      </w:r>
    </w:p>
    <w:p>
      <w:pPr>
        <w:spacing w:after="160"/>
      </w:pPr>
      <w:r>
        <w:rPr>
          <w:b w:val="0"/>
          <w:i/>
          <w:color w:val="555555"/>
          <w:sz w:val="19"/>
        </w:rPr>
        <w:t>A RED raw-risk rating is not a stop condition — it is a flag that the segment needed a redesign, and every one below received one, verified by its Residual Risk column.</w:t>
      </w:r>
    </w:p>
    <w:p>
      <w:pPr>
        <w:spacing w:before="80" w:after="80"/>
      </w:pPr>
      <w:r>
        <w:rPr>
          <w:color w:val="555555"/>
          <w:sz w:val="16"/>
        </w:rPr>
        <w:t>―――――――――――――――――――――――――――――――――――――――――――――――――――――――――――――――――――――――――――――――――――――――――――――――</w:t>
      </w:r>
    </w:p>
    <w:p>
      <w:pPr>
        <w:keepNext/>
        <w:spacing w:before="320" w:after="80"/>
      </w:pPr>
      <w:r>
        <w:rPr>
          <w:b/>
          <w:color w:val="0F2347"/>
          <w:sz w:val="26"/>
        </w:rPr>
        <w:t>Full-session audit</w:t>
      </w:r>
    </w:p>
    <w:tbl>
      <w:tblPr>
        <w:tblStyle w:val="LightGrid-Accent1"/>
        <w:tblW w:type="auto" w:w="0"/>
        <w:tblLook w:firstColumn="1" w:firstRow="1" w:lastColumn="0" w:lastRow="0" w:noHBand="0" w:noVBand="1" w:val="04A0"/>
      </w:tblPr>
      <w:tblGrid>
        <w:gridCol w:w="2102"/>
        <w:gridCol w:w="2102"/>
        <w:gridCol w:w="2102"/>
        <w:gridCol w:w="2102"/>
        <w:gridCol w:w="2102"/>
      </w:tblGrid>
      <w:tr>
        <w:tc>
          <w:tcPr>
            <w:tcW w:type="dxa" w:w="1008"/>
            <w:shd w:val="clear" w:fill="0F2347"/>
          </w:tcPr>
          <w:p>
            <w:r/>
            <w:r>
              <w:rPr>
                <w:b/>
                <w:color w:val="FFFFFF"/>
                <w:sz w:val="18"/>
              </w:rPr>
              <w:t>Time</w:t>
            </w:r>
          </w:p>
        </w:tc>
        <w:tc>
          <w:tcPr>
            <w:tcW w:type="dxa" w:w="2880"/>
            <w:shd w:val="clear" w:fill="0F2347"/>
          </w:tcPr>
          <w:p>
            <w:r/>
            <w:r>
              <w:rPr>
                <w:b/>
                <w:color w:val="FFFFFF"/>
                <w:sz w:val="18"/>
              </w:rPr>
              <w:t>Point of concurrent load</w:t>
            </w:r>
          </w:p>
        </w:tc>
        <w:tc>
          <w:tcPr>
            <w:tcW w:type="dxa" w:w="936"/>
            <w:shd w:val="clear" w:fill="0F2347"/>
          </w:tcPr>
          <w:p>
            <w:r/>
            <w:r>
              <w:rPr>
                <w:b/>
                <w:color w:val="FFFFFF"/>
                <w:sz w:val="18"/>
              </w:rPr>
              <w:t>Raw risk</w:t>
            </w:r>
          </w:p>
        </w:tc>
        <w:tc>
          <w:tcPr>
            <w:tcW w:type="dxa" w:w="1080"/>
            <w:shd w:val="clear" w:fill="0F2347"/>
          </w:tcPr>
          <w:p>
            <w:r/>
            <w:r>
              <w:rPr>
                <w:b/>
                <w:color w:val="FFFFFF"/>
                <w:sz w:val="18"/>
              </w:rPr>
              <w:t>Residual risk</w:t>
            </w:r>
          </w:p>
        </w:tc>
        <w:tc>
          <w:tcPr>
            <w:tcW w:type="dxa" w:w="3816"/>
            <w:shd w:val="clear" w:fill="0F2347"/>
          </w:tcPr>
          <w:p>
            <w:r/>
            <w:r>
              <w:rPr>
                <w:b/>
                <w:color w:val="FFFFFF"/>
                <w:sz w:val="18"/>
              </w:rPr>
              <w:t>Simplification applied</w:t>
            </w:r>
          </w:p>
        </w:tc>
      </w:tr>
      <w:tr>
        <w:tc>
          <w:tcPr>
            <w:tcW w:type="dxa" w:w="1008"/>
          </w:tcPr>
          <w:p>
            <w:r/>
            <w:r>
              <w:rPr>
                <w:sz w:val="17"/>
              </w:rPr>
              <w:t>Pre-session</w:t>
            </w:r>
          </w:p>
        </w:tc>
        <w:tc>
          <w:tcPr>
            <w:tcW w:type="dxa" w:w="2880"/>
          </w:tcPr>
          <w:p>
            <w:r/>
            <w:r>
              <w:rPr>
                <w:sz w:val="17"/>
              </w:rPr>
              <w:t>Instrument version check across deck/workbook/Field Kit before opening the room</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Done before anyone can see the screen — no concurrent teaching to protect.</w:t>
            </w:r>
          </w:p>
        </w:tc>
      </w:tr>
      <w:tr>
        <w:tc>
          <w:tcPr>
            <w:tcW w:type="dxa" w:w="1008"/>
          </w:tcPr>
          <w:p>
            <w:r/>
            <w:r>
              <w:rPr>
                <w:sz w:val="17"/>
              </w:rPr>
              <w:t>0:00–0:45</w:t>
            </w:r>
          </w:p>
        </w:tc>
        <w:tc>
          <w:tcPr>
            <w:tcW w:type="dxa" w:w="2880"/>
          </w:tcPr>
          <w:p>
            <w:r/>
            <w:r>
              <w:rPr>
                <w:sz w:val="17"/>
              </w:rPr>
              <w:t>Admitting arriving participants while welcoming the room, up to the minute-8 cutoff</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Doors open early; participants are strongly expected before the scheduled start. Before minute 8, late arrivals may still be admitted at a controlled pause — this is a fixed, pre-authorized window, not an open-ended monitoring duty. No blanket "disable the waiting room" instruction is used — see the minute-8 late-entry cutoff row below for the boundary itself.</w:t>
            </w:r>
          </w:p>
        </w:tc>
      </w:tr>
      <w:tr>
        <w:tc>
          <w:tcPr>
            <w:tcW w:type="dxa" w:w="1008"/>
          </w:tcPr>
          <w:p>
            <w:r/>
            <w:r>
              <w:rPr>
                <w:sz w:val="17"/>
              </w:rPr>
              <w:t>0:00</w:t>
            </w:r>
          </w:p>
        </w:tc>
        <w:tc>
          <w:tcPr>
            <w:tcW w:type="dxa" w:w="2880"/>
          </w:tcPr>
          <w:p>
            <w:r/>
            <w:r>
              <w:rPr>
                <w:sz w:val="17"/>
              </w:rPr>
              <w:t>Stating the no-recording privacy line</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No toggle of any kind — first solo delivery uses no recording, so this is speech only, with nothing to operate simultaneously.</w:t>
            </w:r>
          </w:p>
        </w:tc>
      </w:tr>
      <w:tr>
        <w:tc>
          <w:tcPr>
            <w:tcW w:type="dxa" w:w="1008"/>
          </w:tcPr>
          <w:p>
            <w:r/>
            <w:r>
              <w:rPr>
                <w:sz w:val="17"/>
              </w:rPr>
              <w:t>0:45–2:15</w:t>
            </w:r>
          </w:p>
        </w:tc>
        <w:tc>
          <w:tcPr>
            <w:tcW w:type="dxa" w:w="2880"/>
          </w:tcPr>
          <w:p>
            <w:r/>
            <w:r>
              <w:rPr>
                <w:sz w:val="17"/>
              </w:rPr>
              <w:t>Delivering the 75–90 sec opening story from memory while tracking time</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Fully rehearsed to a fixed length — removes the live time-tracking need; the story ends itself at the verbatim close line.</w:t>
            </w:r>
          </w:p>
        </w:tc>
      </w:tr>
      <w:tr>
        <w:tc>
          <w:tcPr>
            <w:tcW w:type="dxa" w:w="1008"/>
          </w:tcPr>
          <w:p>
            <w:r/>
            <w:r>
              <w:rPr>
                <w:sz w:val="17"/>
              </w:rPr>
              <w:t>8:00</w:t>
            </w:r>
          </w:p>
        </w:tc>
        <w:tc>
          <w:tcPr>
            <w:tcW w:type="dxa" w:w="2880"/>
          </w:tcPr>
          <w:p>
            <w:r/>
            <w:r>
              <w:rPr>
                <w:sz w:val="17"/>
              </w:rPr>
              <w:t>LATE-ENTRY CUTOFF — deciding admission at the fixed minute-8 boundary</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A fixed rule stated in advance ("doors close to new entrants at minute 8"), using a platform meeting-lock where available or simply ceasing to admit from the waiting room where not — a one-time action at a scheduled minute, not a continuous monitoring duty for the rest of the session.</w:t>
            </w:r>
          </w:p>
        </w:tc>
      </w:tr>
      <w:tr>
        <w:tc>
          <w:tcPr>
            <w:tcW w:type="dxa" w:w="1008"/>
          </w:tcPr>
          <w:p>
            <w:r/>
            <w:r>
              <w:rPr>
                <w:sz w:val="17"/>
              </w:rPr>
              <w:t>8–14</w:t>
            </w:r>
          </w:p>
        </w:tc>
        <w:tc>
          <w:tcPr>
            <w:tcW w:type="dxa" w:w="2880"/>
          </w:tcPr>
          <w:p>
            <w:r/>
            <w:r>
              <w:rPr>
                <w:sz w:val="17"/>
              </w:rPr>
              <w:t>Fielding an unplanned AI-tools question while holding the 60–90 sec application to two sentences</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A single preloaded redirect line ("good appendix/Q&amp;A question") is memorized in advance — turns an improvised judgment call into a scripted reflex.</w:t>
            </w:r>
          </w:p>
        </w:tc>
      </w:tr>
      <w:tr>
        <w:tc>
          <w:tcPr>
            <w:tcW w:type="dxa" w:w="1008"/>
          </w:tcPr>
          <w:p>
            <w:r/>
            <w:r>
              <w:rPr>
                <w:sz w:val="17"/>
              </w:rPr>
              <w:t>14–24</w:t>
            </w:r>
          </w:p>
        </w:tc>
        <w:tc>
          <w:tcPr>
            <w:tcW w:type="dxa" w:w="2880"/>
          </w:tcPr>
          <w:p>
            <w:r/>
            <w:r>
              <w:rPr>
                <w:sz w:val="17"/>
              </w:rPr>
              <w:t>Responding to a participant's broken auto-calculation while others are mid-scoring, without breaking the room's silence</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A single preloaded chat reply ("add the six by hand and keep going") is pasted, not composed — no live troubleshooting.</w:t>
            </w:r>
          </w:p>
        </w:tc>
      </w:tr>
      <w:tr>
        <w:tc>
          <w:tcPr>
            <w:tcW w:type="dxa" w:w="1008"/>
          </w:tcPr>
          <w:p>
            <w:r/>
            <w:r>
              <w:rPr>
                <w:sz w:val="17"/>
              </w:rPr>
              <w:t>24–31</w:t>
            </w:r>
          </w:p>
        </w:tc>
        <w:tc>
          <w:tcPr>
            <w:tcW w:type="dxa" w:w="2880"/>
          </w:tcPr>
          <w:p>
            <w:r/>
            <w:r>
              <w:rPr>
                <w:sz w:val="17"/>
              </w:rPr>
              <w:t>Triggering POLL A (initial placement + readiness question) and advancing the slide</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Poll tool pinned to a single already-open tab (one click); the poll's own second question (readiness) replaces any separate visual-confirmation task — genuine but low-stakes concurrent load, fully described in the Facilitator Guide and Run Sheet.</w:t>
            </w:r>
          </w:p>
        </w:tc>
      </w:tr>
      <w:tr>
        <w:tc>
          <w:tcPr>
            <w:tcW w:type="dxa" w:w="1008"/>
          </w:tcPr>
          <w:p>
            <w:r/>
            <w:r>
              <w:rPr>
                <w:sz w:val="17"/>
              </w:rPr>
              <w:t>31–33</w:t>
            </w:r>
          </w:p>
        </w:tc>
        <w:tc>
          <w:tcPr>
            <w:tcW w:type="dxa" w:w="2880"/>
          </w:tcPr>
          <w:p>
            <w:r/>
            <w:r>
              <w:rPr>
                <w:sz w:val="17"/>
              </w:rPr>
              <w:t>PART B RELEASE — confirming readiness via Poll A's anonymous readiness question, then distributing a link, without typing it live</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Readiness is read directly off the already-open Poll A results — no separate eye-scan or workbook inspection task exists to perform. Link pre-copied into a labeled scratchpad before the room opens; release message fully pre-written and simply pasted (see Part B Release — Solo Procedure). The two-minute allowance itself is built as recovery time, not instant. This is the single highest-risk moment in the session and is treated as such throughout the Facilitator Guide.</w:t>
            </w:r>
          </w:p>
        </w:tc>
      </w:tr>
      <w:tr>
        <w:tc>
          <w:tcPr>
            <w:tcW w:type="dxa" w:w="1008"/>
          </w:tcPr>
          <w:p>
            <w:r/>
            <w:r>
              <w:rPr>
                <w:sz w:val="17"/>
              </w:rPr>
              <w:t>33–48</w:t>
            </w:r>
          </w:p>
        </w:tc>
        <w:tc>
          <w:tcPr>
            <w:tcW w:type="dxa" w:w="2880"/>
          </w:tcPr>
          <w:p>
            <w:r/>
            <w:r>
              <w:rPr>
                <w:sz w:val="17"/>
              </w:rPr>
              <w:t>Tracking elapsed time across seven consecutive teaching slides (protocol + three misreadings + application + accumulated argument) while delivering nuanced worked examples</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Live Delivery Control Card kept visible for a glanceable clock; the segment's own internal markers ("Misreading One", "Misreading Two"...) act as natural time checkpoints without requiring a separate stopwatch discipline.</w:t>
            </w:r>
          </w:p>
        </w:tc>
      </w:tr>
      <w:tr>
        <w:tc>
          <w:tcPr>
            <w:tcW w:type="dxa" w:w="1008"/>
          </w:tcPr>
          <w:p>
            <w:r/>
            <w:r>
              <w:rPr>
                <w:sz w:val="17"/>
              </w:rPr>
              <w:t>48–64</w:t>
            </w:r>
          </w:p>
        </w:tc>
        <w:tc>
          <w:tcPr>
            <w:tcW w:type="dxa" w:w="2880"/>
          </w:tcPr>
          <w:p>
            <w:r/>
            <w:r>
              <w:rPr>
                <w:sz w:val="17"/>
              </w:rPr>
              <w:t>Sixteen minutes of quiet monitoring during Pass Two while participants write with evidence</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This is the lowest cognitive-load window in the entire session — explicitly used in the Facilitator Guide as a moment to recover the facilitator's own pacing, not to multitask.</w:t>
            </w:r>
          </w:p>
        </w:tc>
      </w:tr>
      <w:tr>
        <w:tc>
          <w:tcPr>
            <w:tcW w:type="dxa" w:w="1008"/>
          </w:tcPr>
          <w:p>
            <w:r/>
            <w:r>
              <w:rPr>
                <w:sz w:val="17"/>
              </w:rPr>
              <w:t>64–71 (slide 30)</w:t>
            </w:r>
          </w:p>
        </w:tc>
        <w:tc>
          <w:tcPr>
            <w:tcW w:type="dxa" w:w="2880"/>
          </w:tcPr>
          <w:p>
            <w:r/>
            <w:r>
              <w:rPr>
                <w:sz w:val="17"/>
              </w:rPr>
              <w:t>Re-total instruction while deliberately withholding any poll trigger until the sensitivity procedure is taught</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The correct action is to do nothing with the poll tool here — a null action is lower load than a triggered one. The Facilitator Guide and Run Sheet both state explicitly "NO POLL YET" on this row, removing any ambiguity about sequencing under pressure.</w:t>
            </w:r>
          </w:p>
        </w:tc>
      </w:tr>
      <w:tr>
        <w:tc>
          <w:tcPr>
            <w:tcW w:type="dxa" w:w="1008"/>
          </w:tcPr>
          <w:p>
            <w:r/>
            <w:r>
              <w:rPr>
                <w:sz w:val="17"/>
              </w:rPr>
              <w:t>64–71 (slide 31)</w:t>
            </w:r>
          </w:p>
        </w:tc>
        <w:tc>
          <w:tcPr>
            <w:tcW w:type="dxa" w:w="2880"/>
          </w:tcPr>
          <w:p>
            <w:r/>
            <w:r>
              <w:rPr>
                <w:sz w:val="17"/>
              </w:rPr>
              <w:t>Teaching the sensitivity procedure, THEN triggering the single combined Poll B (5 questions: placement, confidence, and 3 sensitivity items) only once teaching is complete</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Poll B is built as ONE multi-question poll screen (not several separate polls) and is opened only after the procedure — see Anonymous Poll Setup v1.1; the 40-second worked example is scripted and rehearsed, not improvised, per the Facilitator Guide. This ordering is a hard sequencing rule, not a judgment call: procedure first, poll second, always.</w:t>
            </w:r>
          </w:p>
        </w:tc>
      </w:tr>
      <w:tr>
        <w:tc>
          <w:tcPr>
            <w:tcW w:type="dxa" w:w="1008"/>
          </w:tcPr>
          <w:p>
            <w:r/>
            <w:r>
              <w:rPr>
                <w:sz w:val="17"/>
              </w:rPr>
              <w:t>71–77</w:t>
            </w:r>
          </w:p>
        </w:tc>
        <w:tc>
          <w:tcPr>
            <w:tcW w:type="dxa" w:w="2880"/>
          </w:tcPr>
          <w:p>
            <w:r/>
            <w:r>
              <w:rPr>
                <w:sz w:val="17"/>
              </w:rPr>
              <w:t>Triggering POLL C (3 movement questions) and reading three anonymous counts back-to-back while holding a rehearsed no-movement contingency in reserve</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The "if nobody moves" line is fully scripted in the Facilitator Guide precisely so it is never improvised under pressure — residual load is one poll click plus reading three numbers aloud in sequence, which is low-stakes.</w:t>
            </w:r>
          </w:p>
        </w:tc>
      </w:tr>
      <w:tr>
        <w:tc>
          <w:tcPr>
            <w:tcW w:type="dxa" w:w="1008"/>
          </w:tcPr>
          <w:p>
            <w:r/>
            <w:r>
              <w:rPr>
                <w:sz w:val="17"/>
              </w:rPr>
              <w:t>77–84</w:t>
            </w:r>
          </w:p>
        </w:tc>
        <w:tc>
          <w:tcPr>
            <w:tcW w:type="dxa" w:w="2880"/>
          </w:tcPr>
          <w:p>
            <w:r/>
            <w:r>
              <w:rPr>
                <w:sz w:val="17"/>
              </w:rPr>
              <w:t>Deciding live, under time pressure, which state to teach in depth based on the corrected-placement count</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The decision is made once, right after Poll B closes near minute 71 — well before minute 77 — and simply carried forward as a noted fact, not decided in the moment. Using the corrected (not first-placement) count also means the decision reflects the evidence-backed reading, not the uncalibrated one.</w:t>
            </w:r>
          </w:p>
        </w:tc>
      </w:tr>
      <w:tr>
        <w:tc>
          <w:tcPr>
            <w:tcW w:type="dxa" w:w="1008"/>
          </w:tcPr>
          <w:p>
            <w:r/>
            <w:r>
              <w:rPr>
                <w:sz w:val="17"/>
              </w:rPr>
              <w:t>77–84</w:t>
            </w:r>
          </w:p>
        </w:tc>
        <w:tc>
          <w:tcPr>
            <w:tcW w:type="dxa" w:w="2880"/>
          </w:tcPr>
          <w:p>
            <w:r/>
            <w:r>
              <w:rPr>
                <w:sz w:val="17"/>
              </w:rPr>
              <w:t>Monitoring elapsed time to trigger the named cut point (compress to 90 sec if 4+ min behind) on the personal-cost writing slide</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Control Card and Run Sheet both flag this as a named, pre-authorized cut point — the judgment call is reduced to a single time check against a fixed threshold, not an open decision.</w:t>
            </w:r>
          </w:p>
        </w:tc>
      </w:tr>
      <w:tr>
        <w:tc>
          <w:tcPr>
            <w:tcW w:type="dxa" w:w="1008"/>
          </w:tcPr>
          <w:p>
            <w:r/>
            <w:r>
              <w:rPr>
                <w:sz w:val="17"/>
              </w:rPr>
              <w:t>84–88</w:t>
            </w:r>
          </w:p>
        </w:tc>
        <w:tc>
          <w:tcPr>
            <w:tcW w:type="dxa" w:w="2880"/>
          </w:tcPr>
          <w:p>
            <w:r/>
            <w:r>
              <w:rPr>
                <w:sz w:val="17"/>
              </w:rPr>
              <w:t>Fielding a "which category does my square mean?" question while holding the line-06 fixed wording</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The redirect ("which of these does your evidence support?") is scripted verbatim in the Facilitator Guide — a reflex, not a live composition.</w:t>
            </w:r>
          </w:p>
        </w:tc>
      </w:tr>
      <w:tr>
        <w:tc>
          <w:tcPr>
            <w:tcW w:type="dxa" w:w="1008"/>
          </w:tcPr>
          <w:p>
            <w:r/>
            <w:r>
              <w:rPr>
                <w:sz w:val="17"/>
              </w:rPr>
              <w:t>88:00</w:t>
            </w:r>
          </w:p>
        </w:tc>
        <w:tc>
          <w:tcPr>
            <w:tcW w:type="dxa" w:w="2880"/>
          </w:tcPr>
          <w:p>
            <w:r/>
            <w:r>
              <w:rPr>
                <w:sz w:val="17"/>
              </w:rPr>
              <w:t>Transitioning the room into silent-writing instructions</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No recording toggle exists for the first solo delivery — this row is now pure teaching transition, with nothing operational to forget. (Compare v1.0, where this was the single highest-stakes toggle in the session; the correction removes the risk at its source rather than mitigating it.)</w:t>
            </w:r>
          </w:p>
        </w:tc>
      </w:tr>
      <w:tr>
        <w:tc>
          <w:tcPr>
            <w:tcW w:type="dxa" w:w="1008"/>
          </w:tcPr>
          <w:p>
            <w:r/>
            <w:r>
              <w:rPr>
                <w:sz w:val="17"/>
              </w:rPr>
              <w:t>88–96</w:t>
            </w:r>
          </w:p>
        </w:tc>
        <w:tc>
          <w:tcPr>
            <w:tcW w:type="dxa" w:w="2880"/>
          </w:tcPr>
          <w:p>
            <w:r/>
            <w:r>
              <w:rPr>
                <w:sz w:val="17"/>
              </w:rPr>
              <w:t>Remaining visibly available for quiet questions while tracking the 8-minute clock and not filling the silence</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A visible countdown timer (platform-native or a second small device) offloads the time-tracking half of this load, leaving attention free for the (rare) quiet question.</w:t>
            </w:r>
          </w:p>
        </w:tc>
      </w:tr>
      <w:tr>
        <w:tc>
          <w:tcPr>
            <w:tcW w:type="dxa" w:w="1008"/>
          </w:tcPr>
          <w:p>
            <w:r/>
            <w:r>
              <w:rPr>
                <w:sz w:val="17"/>
              </w:rPr>
              <w:t>94:00</w:t>
            </w:r>
          </w:p>
        </w:tc>
        <w:tc>
          <w:tcPr>
            <w:tcW w:type="dxa" w:w="2880"/>
          </w:tcPr>
          <w:p>
            <w:r/>
            <w:r>
              <w:rPr>
                <w:sz w:val="17"/>
              </w:rPr>
              <w:t>Delivering the exact two-minute-warning cue at the correct moment</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The cue is fixed, short, and identical every delivery — a scripted interruption to silence, not a composed one. The Control Card marks minute 94 explicitly so the trigger point itself is never in question.</w:t>
            </w:r>
          </w:p>
        </w:tc>
      </w:tr>
      <w:tr>
        <w:tc>
          <w:tcPr>
            <w:tcW w:type="dxa" w:w="1008"/>
          </w:tcPr>
          <w:p>
            <w:r/>
            <w:r>
              <w:rPr>
                <w:sz w:val="17"/>
              </w:rPr>
              <w:t>96–100</w:t>
            </w:r>
          </w:p>
        </w:tc>
        <w:tc>
          <w:tcPr>
            <w:tcW w:type="dxa" w:w="2880"/>
          </w:tcPr>
          <w:p>
            <w:r/>
            <w:r>
              <w:rPr>
                <w:sz w:val="17"/>
              </w:rPr>
              <w:t>Tallying readers, delivering the permission script per person, redirecting "requires" to "supports testing" in real time, and enforcing the two-reader cap</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The cap is stated as a fixed rule BEFORE opening the floor ("I'll take up to two"), removing live adjudication; the permission script is fully scripted and reused verbatim per person, never composed live.</w:t>
            </w:r>
          </w:p>
        </w:tc>
      </w:tr>
      <w:tr>
        <w:tc>
          <w:tcPr>
            <w:tcW w:type="dxa" w:w="1008"/>
          </w:tcPr>
          <w:p>
            <w:r/>
            <w:r>
              <w:rPr>
                <w:sz w:val="17"/>
              </w:rPr>
              <w:t>100–105</w:t>
            </w:r>
          </w:p>
        </w:tc>
        <w:tc>
          <w:tcPr>
            <w:tcW w:type="dxa" w:w="2880"/>
          </w:tcPr>
          <w:p>
            <w:r/>
            <w:r>
              <w:rPr>
                <w:sz w:val="17"/>
              </w:rPr>
              <w:t>Delivering the close while resisting the pull to improvise an offer the room's energy seems to invite</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Both close slides are fully scripted with explicit WHAT NOT TO SAY guardrails in the Facilitator Guide — the discipline is rehearsed, not decided live.</w:t>
            </w:r>
          </w:p>
        </w:tc>
      </w:tr>
      <w:tr>
        <w:tc>
          <w:tcPr>
            <w:tcW w:type="dxa" w:w="1008"/>
          </w:tcPr>
          <w:p>
            <w:r/>
            <w:r>
              <w:rPr>
                <w:sz w:val="17"/>
              </w:rPr>
              <w:t>105–120</w:t>
            </w:r>
          </w:p>
        </w:tc>
        <w:tc>
          <w:tcPr>
            <w:tcW w:type="dxa" w:w="2880"/>
          </w:tcPr>
          <w:p>
            <w:r/>
            <w:r>
              <w:rPr>
                <w:sz w:val="17"/>
              </w:rPr>
              <w:t>Starting Q&amp;A while an earlier segment may have run slightly over</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This is the session's built-in time-recovery buffer, not a new load — any earlier overrun is absorbed here by design, and nothing downstream depends on Q&amp;A's own length.</w:t>
            </w:r>
          </w:p>
        </w:tc>
      </w:tr>
      <w:tr>
        <w:tc>
          <w:tcPr>
            <w:tcW w:type="dxa" w:w="1008"/>
          </w:tcPr>
          <w:p>
            <w:r/>
            <w:r>
              <w:rPr>
                <w:sz w:val="17"/>
              </w:rPr>
              <w:t>Any point, 0–105</w:t>
            </w:r>
          </w:p>
        </w:tc>
        <w:tc>
          <w:tcPr>
            <w:tcW w:type="dxa" w:w="2880"/>
          </w:tcPr>
          <w:p>
            <w:r/>
            <w:r>
              <w:rPr>
                <w:sz w:val="17"/>
              </w:rPr>
              <w:t>Changing slides and triggering a poll in immediate succession</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Sequenced, never simultaneous: advance the slide first (a visual cue for participants), then trigger the poll from its own separately pinned tab a beat later — never the same click.</w:t>
            </w:r>
          </w:p>
        </w:tc>
      </w:tr>
      <w:tr>
        <w:tc>
          <w:tcPr>
            <w:tcW w:type="dxa" w:w="1008"/>
          </w:tcPr>
          <w:p>
            <w:r/>
            <w:r>
              <w:rPr>
                <w:sz w:val="17"/>
              </w:rPr>
              <w:t>Any polling moment</w:t>
            </w:r>
          </w:p>
        </w:tc>
        <w:tc>
          <w:tcPr>
            <w:tcW w:type="dxa" w:w="2880"/>
          </w:tcPr>
          <w:p>
            <w:r/>
            <w:r>
              <w:rPr>
                <w:sz w:val="17"/>
              </w:rPr>
              <w:t>The primary anonymous poll tool fails to load or malfunctions live</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The decision to skip the metric entirely is pre-scripted and rehearsed, not invented under pressure: try the separately pre-tested backup anonymous poll once; if that also fails, skip the metric, mark it "unavailable" on the capture sheet after the session, and continue teaching without delay. An identifiable fallback (show of hands, chat, DM) is never an option under any circumstance — a privacy-violating fallback is not classified as "manageable" at any residual level.</w:t>
            </w:r>
          </w:p>
        </w:tc>
      </w:tr>
    </w:tbl>
    <w:p>
      <w:pPr>
        <w:spacing w:after="120"/>
      </w:pPr>
    </w:p>
    <w:p>
      <w:pPr>
        <w:spacing w:before="80" w:after="80"/>
      </w:pPr>
      <w:r>
        <w:rPr>
          <w:color w:val="555555"/>
          <w:sz w:val="16"/>
        </w:rPr>
        <w:t>―――――――――――――――――――――――――――――――――――――――――――――――――――――――――――――――――――――――――――――――――――――――――――――――</w:t>
      </w:r>
    </w:p>
    <w:p>
      <w:pPr>
        <w:keepNext/>
        <w:spacing w:before="320" w:after="80"/>
      </w:pPr>
      <w:r>
        <w:rPr>
          <w:b/>
          <w:color w:val="0F2347"/>
          <w:sz w:val="26"/>
        </w:rPr>
        <w:t>Summary</w:t>
      </w:r>
    </w:p>
    <w:p>
      <w:pPr>
        <w:spacing w:after="40"/>
      </w:pPr>
      <w:r>
        <w:rPr>
          <w:b w:val="0"/>
          <w:i w:val="0"/>
          <w:color w:val="000000"/>
          <w:sz w:val="21"/>
        </w:rPr>
        <w:t>Raw risk (before mitigation): 4 GREEN, 16 AMBER, 5 RED.</w:t>
      </w:r>
    </w:p>
    <w:p>
      <w:pPr>
        <w:spacing w:after="160"/>
      </w:pPr>
      <w:r>
        <w:rPr>
          <w:b/>
          <w:i w:val="0"/>
          <w:color w:val="1A7A1A"/>
          <w:sz w:val="22"/>
        </w:rPr>
        <w:t>Residual risk (after the simplifications already built into the Facilitator Guide, Solo Run Sheet, Anonymous Poll Setup, and Control Card): 15 GREEN, 10 AMBER, 0 RED.</w:t>
      </w:r>
    </w:p>
    <w:p>
      <w:pPr>
        <w:spacing w:after="160"/>
      </w:pPr>
      <w:r>
        <w:rPr>
          <w:b w:val="0"/>
          <w:i w:val="0"/>
          <w:color w:val="000000"/>
          <w:sz w:val="20"/>
        </w:rPr>
        <w:t>Zero unresolved RED items. Every point of genuine concurrent load has a specific, already-implemented simplification — preloading, scripting, sequencing, or a settings-level change — rather than a recommendation to add a second person. The remaining AMBER items are judged safely manageable by one prepared facilitator: each is low-stakes, brief, or backed by a visible reminder in the Run Sheet or Control Card.</w:t>
      </w:r>
    </w:p>
    <w:p>
      <w:pPr>
        <w:spacing w:before="80" w:after="80"/>
      </w:pPr>
      <w:r>
        <w:rPr>
          <w:color w:val="555555"/>
          <w:sz w:val="16"/>
        </w:rPr>
        <w:t>―――――――――――――――――――――――――――――――――――――――――――――――――――――――――――――――――――――――――――――――――――――――――――――――</w:t>
      </w:r>
    </w:p>
    <w:p>
      <w:pPr>
        <w:keepNext/>
        <w:spacing w:before="320" w:after="80"/>
      </w:pPr>
      <w:r>
        <w:rPr>
          <w:b/>
          <w:color w:val="0F2347"/>
          <w:sz w:val="26"/>
        </w:rPr>
        <w:t>The highest-stakes moments in the corrected session</w:t>
      </w:r>
    </w:p>
    <w:p>
      <w:pPr>
        <w:pStyle w:val="ListBullet"/>
        <w:spacing w:after="60"/>
      </w:pPr>
      <w:r>
        <w:rPr>
          <w:b/>
          <w:sz w:val="20"/>
        </w:rPr>
        <w:t xml:space="preserve">Part B release (minute 31). </w:t>
      </w:r>
      <w:r>
        <w:rPr>
          <w:sz w:val="20"/>
        </w:rPr>
        <w:t>solved entirely by preloading — a pre-copied link and a pre-written message that is pasted, never typed live, gated by an anonymous readiness question rather than any visual inspection. See Part B Release — Solo Procedure in the Facilitator Guide.</w:t>
      </w:r>
    </w:p>
    <w:p>
      <w:pPr>
        <w:pStyle w:val="ListBullet"/>
        <w:spacing w:after="60"/>
      </w:pPr>
      <w:r>
        <w:rPr>
          <w:b/>
          <w:sz w:val="20"/>
        </w:rPr>
        <w:t xml:space="preserve">Sensitivity before corrected-placement poll (minute 64–71). </w:t>
      </w:r>
      <w:r>
        <w:rPr>
          <w:sz w:val="20"/>
        </w:rPr>
        <w:t>solved by a hard sequencing rule stated in three documents (Facilitator Guide, Solo Run Sheet, Anonymous Poll Setup): teach the procedure, THEN open the poll — never the reverse. Slide 30 carries an explicit "NO POLL YET" instruction specifically to prevent this from becoming a live judgment call.</w:t>
      </w:r>
    </w:p>
    <w:p>
      <w:pPr>
        <w:pStyle w:val="ListBullet"/>
        <w:spacing w:after="60"/>
      </w:pPr>
      <w:r>
        <w:rPr>
          <w:b/>
          <w:sz w:val="20"/>
        </w:rPr>
        <w:t xml:space="preserve">A failed anonymous poll, at any moment. </w:t>
      </w:r>
      <w:r>
        <w:rPr>
          <w:sz w:val="20"/>
        </w:rPr>
        <w:t>solved by a pre-scripted decision tree (try backup, then skip and mark unavailable) so a live tool failure never tempts an identifiable substitute under time pressure.</w:t>
      </w:r>
    </w:p>
    <w:p>
      <w:pPr>
        <w:spacing w:after="160"/>
      </w:pPr>
      <w:r>
        <w:rPr>
          <w:b w:val="0"/>
          <w:i/>
          <w:color w:val="555555"/>
          <w:sz w:val="19"/>
        </w:rPr>
        <w:t>Note what is absent from this list, compared to v1.0: the recording stop at minute 88. Removing recording from the first solo delivery did not just mitigate that risk — it eliminated it as a cognitive-load point entirely, which is the strongest form of simplification available.</w:t>
      </w:r>
    </w:p>
    <w:p>
      <w:pPr>
        <w:spacing w:before="80" w:after="80"/>
      </w:pPr>
      <w:r>
        <w:rPr>
          <w:color w:val="555555"/>
          <w:sz w:val="16"/>
        </w:rPr>
        <w:t>―――――――――――――――――――――――――――――――――――――――――――――――――――――――――――――――――――――――――――――――――――――――――――――――</w:t>
      </w:r>
    </w:p>
    <w:p>
      <w:pPr>
        <w:spacing w:after="0"/>
      </w:pPr>
      <w:r>
        <w:rPr>
          <w:b/>
          <w:i w:val="0"/>
          <w:color w:val="555555"/>
          <w:sz w:val="16"/>
        </w:rPr>
        <w:t>PAID WORKSHOP — SOLO FACILITATOR COGNITIVE-LOAD AUDIT v1.1</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