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20"/>
      </w:pPr>
      <w:r>
        <w:rPr>
          <w:b/>
          <w:color w:val="0F2347"/>
          <w:sz w:val="36"/>
        </w:rPr>
        <w:t>Anonymous Poll Setup and Backup v1.2</w:t>
      </w:r>
    </w:p>
    <w:p>
      <w:pPr>
        <w:spacing w:after="200"/>
      </w:pPr>
      <w:r>
        <w:rPr>
          <w:b w:val="0"/>
          <w:i/>
          <w:color w:val="555555"/>
          <w:sz w:val="21"/>
        </w:rPr>
        <w:t>Decide Whether to Stay or Leave Your Job — The Capability Position Read  ·  Room-level counts, solo-facilitator edition</w:t>
      </w:r>
    </w:p>
    <w:p>
      <w:pPr>
        <w:spacing w:before="80" w:after="80"/>
      </w:pPr>
      <w:r>
        <w:rPr>
          <w:color w:val="555555"/>
          <w:sz w:val="16"/>
        </w:rPr>
        <w:t>――――――――――――――――――――――――――――――――――――――――――――――――――――――――――――――――――――――――――――――――――――――――――</w:t>
      </w:r>
    </w:p>
    <w:p>
      <w:pPr>
        <w:keepNext/>
        <w:spacing w:before="320" w:after="80"/>
      </w:pPr>
      <w:r>
        <w:rPr>
          <w:b/>
          <w:color w:val="0F2347"/>
          <w:sz w:val="26"/>
        </w:rPr>
        <w:t>The hidden pre-session poll (slide 2)</w:t>
      </w:r>
    </w:p>
    <w:p>
      <w:pPr>
        <w:spacing w:after="160"/>
      </w:pPr>
      <w:r>
        <w:rPr>
          <w:b w:val="0"/>
          <w:i w:val="0"/>
          <w:color w:val="000000"/>
          <w:sz w:val="20"/>
        </w:rPr>
        <w:t>The opening poll on slide 2 is HIDDEN and NOT part of the timed 0–8 opening. Treat it as OPTIONAL PRE-SESSION / ARRIVAL ENGAGEMENT only, never forced into live timing.</w:t>
      </w:r>
    </w:p>
    <w:p>
      <w:pPr>
        <w:spacing w:before="80" w:after="80"/>
      </w:pPr>
      <w:r>
        <w:rPr>
          <w:color w:val="555555"/>
          <w:sz w:val="16"/>
        </w:rPr>
        <w:t>――――――――――――――――――――――――――――――――――――――――――――――――――――――――――――――――――――――――――――――――――――――――――</w:t>
      </w:r>
    </w:p>
    <w:p>
      <w:pPr>
        <w:keepNext/>
        <w:spacing w:before="320" w:after="80"/>
      </w:pPr>
      <w:r>
        <w:rPr>
          <w:b/>
          <w:color w:val="0F2347"/>
          <w:sz w:val="26"/>
        </w:rPr>
        <w:t>Architecture — three polling moments, four screens</w:t>
      </w:r>
    </w:p>
    <w:p>
      <w:pPr>
        <w:spacing w:after="120"/>
      </w:pPr>
      <w:r>
        <w:rPr>
          <w:b w:val="0"/>
          <w:i w:val="0"/>
          <w:color w:val="000000"/>
          <w:sz w:val="20"/>
        </w:rPr>
        <w:t>Poll Moment A runs as two sequential screens (Screen A1 readiness, Screen A2 placement) because a participant who needs more time has no defensible placement yet to submit — readiness and placement cannot share a screen. Poll Moment B and Poll Moment C are each a single screen.</w:t>
      </w:r>
    </w:p>
    <w:tbl>
      <w:tblPr>
        <w:tblStyle w:val="LightGrid-Accent1"/>
        <w:tblW w:type="auto" w:w="0"/>
        <w:tblLook w:firstColumn="1" w:firstRow="1" w:lastColumn="0" w:lastRow="0" w:noHBand="0" w:noVBand="1" w:val="04A0"/>
      </w:tblPr>
      <w:tblGrid>
        <w:gridCol w:w="3408"/>
        <w:gridCol w:w="3408"/>
        <w:gridCol w:w="3408"/>
      </w:tblGrid>
      <w:tr>
        <w:tc>
          <w:tcPr>
            <w:tcW w:type="dxa" w:w="1872"/>
            <w:shd w:val="clear" w:fill="0F2347"/>
          </w:tcPr>
          <w:p>
            <w:r/>
            <w:r>
              <w:rPr>
                <w:b/>
                <w:color w:val="FFFFFF"/>
                <w:sz w:val="18"/>
              </w:rPr>
              <w:t>Moment</w:t>
            </w:r>
          </w:p>
        </w:tc>
        <w:tc>
          <w:tcPr>
            <w:tcW w:type="dxa" w:w="5616"/>
            <w:shd w:val="clear" w:fill="0F2347"/>
          </w:tcPr>
          <w:p>
            <w:r/>
            <w:r>
              <w:rPr>
                <w:b/>
                <w:color w:val="FFFFFF"/>
                <w:sz w:val="18"/>
              </w:rPr>
              <w:t>Screens</w:t>
            </w:r>
          </w:p>
        </w:tc>
        <w:tc>
          <w:tcPr>
            <w:tcW w:type="dxa" w:w="3024"/>
            <w:shd w:val="clear" w:fill="0F2347"/>
          </w:tcPr>
          <w:p>
            <w:r/>
            <w:r>
              <w:rPr>
                <w:b/>
                <w:color w:val="FFFFFF"/>
                <w:sz w:val="18"/>
              </w:rPr>
              <w:t>When</w:t>
            </w:r>
          </w:p>
        </w:tc>
      </w:tr>
      <w:tr>
        <w:tc>
          <w:tcPr>
            <w:tcW w:type="dxa" w:w="1872"/>
          </w:tcPr>
          <w:p>
            <w:r/>
            <w:r>
              <w:rPr>
                <w:sz w:val="17"/>
              </w:rPr>
              <w:t>Poll Moment A</w:t>
            </w:r>
          </w:p>
        </w:tc>
        <w:tc>
          <w:tcPr>
            <w:tcW w:type="dxa" w:w="5616"/>
          </w:tcPr>
          <w:p>
            <w:r/>
            <w:r>
              <w:rPr>
                <w:sz w:val="17"/>
              </w:rPr>
              <w:t>Screen A1 (readiness) → Screen A2 (placement)</w:t>
            </w:r>
          </w:p>
        </w:tc>
        <w:tc>
          <w:tcPr>
            <w:tcW w:type="dxa" w:w="3024"/>
          </w:tcPr>
          <w:p>
            <w:r/>
            <w:r>
              <w:rPr>
                <w:sz w:val="17"/>
              </w:rPr>
              <w:t>After slide 20's private scoring, minute 24–31</w:t>
            </w:r>
          </w:p>
        </w:tc>
      </w:tr>
      <w:tr>
        <w:tc>
          <w:tcPr>
            <w:tcW w:type="dxa" w:w="1872"/>
          </w:tcPr>
          <w:p>
            <w:r/>
            <w:r>
              <w:rPr>
                <w:sz w:val="17"/>
              </w:rPr>
              <w:t>Poll Moment B</w:t>
            </w:r>
          </w:p>
        </w:tc>
        <w:tc>
          <w:tcPr>
            <w:tcW w:type="dxa" w:w="5616"/>
          </w:tcPr>
          <w:p>
            <w:r/>
            <w:r>
              <w:rPr>
                <w:sz w:val="17"/>
              </w:rPr>
              <w:t>One combined screen (placement, confidence, uncertainty, sensitivity)</w:t>
            </w:r>
          </w:p>
        </w:tc>
        <w:tc>
          <w:tcPr>
            <w:tcW w:type="dxa" w:w="3024"/>
          </w:tcPr>
          <w:p>
            <w:r/>
            <w:r>
              <w:rPr>
                <w:sz w:val="17"/>
              </w:rPr>
              <w:t>After slide 31 — sensitivity procedure AND placement finalization both complete</w:t>
            </w:r>
          </w:p>
        </w:tc>
      </w:tr>
      <w:tr>
        <w:tc>
          <w:tcPr>
            <w:tcW w:type="dxa" w:w="1872"/>
          </w:tcPr>
          <w:p>
            <w:r/>
            <w:r>
              <w:rPr>
                <w:sz w:val="17"/>
              </w:rPr>
              <w:t>Poll Moment C</w:t>
            </w:r>
          </w:p>
        </w:tc>
        <w:tc>
          <w:tcPr>
            <w:tcW w:type="dxa" w:w="5616"/>
          </w:tcPr>
          <w:p>
            <w:r/>
            <w:r>
              <w:rPr>
                <w:sz w:val="17"/>
              </w:rPr>
              <w:t>One screen (movement, 3 questions)</w:t>
            </w:r>
          </w:p>
        </w:tc>
        <w:tc>
          <w:tcPr>
            <w:tcW w:type="dxa" w:w="3024"/>
          </w:tcPr>
          <w:p>
            <w:r/>
            <w:r>
              <w:rPr>
                <w:sz w:val="17"/>
              </w:rPr>
              <w:t>After slide 32, minute 71–77</w:t>
            </w:r>
          </w:p>
        </w:tc>
      </w:tr>
    </w:tbl>
    <w:p>
      <w:pPr>
        <w:spacing w:after="120"/>
      </w:pPr>
    </w:p>
    <w:p>
      <w:pPr>
        <w:spacing w:after="160"/>
      </w:pPr>
      <w:r>
        <w:rPr>
          <w:b/>
          <w:i w:val="0"/>
          <w:color w:val="1A7A1A"/>
          <w:sz w:val="21"/>
        </w:rPr>
        <w:t>Three required live polling moments, four screens total. The optional pre-session arrival poll (slide 2, hidden) remains separate.</w:t>
      </w:r>
    </w:p>
    <w:p>
      <w:pPr>
        <w:spacing w:before="80" w:after="80"/>
      </w:pPr>
      <w:r>
        <w:rPr>
          <w:color w:val="555555"/>
          <w:sz w:val="16"/>
        </w:rPr>
        <w:t>――――――――――――――――――――――――――――――――――――――――――――――――――――――――――――――――――――――――――――――――――――――――――</w:t>
      </w:r>
    </w:p>
    <w:p>
      <w:pPr>
        <w:keepNext/>
        <w:spacing w:before="320" w:after="80"/>
      </w:pPr>
      <w:r>
        <w:rPr>
          <w:b/>
          <w:color w:val="0F2347"/>
          <w:sz w:val="26"/>
        </w:rPr>
        <w:t>Privacy boundary — applies to every count below</w:t>
      </w:r>
    </w:p>
    <w:p>
      <w:pPr>
        <w:pStyle w:val="ListBullet"/>
        <w:spacing w:after="60"/>
      </w:pPr>
      <w:r>
        <w:rPr>
          <w:b/>
          <w:sz w:val="20"/>
        </w:rPr>
        <w:t xml:space="preserve">Collect. </w:t>
      </w:r>
      <w:r>
        <w:rPr>
          <w:sz w:val="20"/>
        </w:rPr>
        <w:t>room-level totals only, through a verified anonymous poll.</w:t>
      </w:r>
    </w:p>
    <w:p>
      <w:pPr>
        <w:pStyle w:val="ListBullet"/>
        <w:spacing w:after="60"/>
      </w:pPr>
      <w:r>
        <w:rPr>
          <w:b/>
          <w:sz w:val="20"/>
        </w:rPr>
        <w:t xml:space="preserve">Never collect. </w:t>
      </w:r>
      <w:r>
        <w:rPr>
          <w:sz w:val="20"/>
        </w:rPr>
        <w:t>names, email addresses, employers, job titles, free text, or any identifiable participant record alongside a state or score.</w:t>
      </w:r>
    </w:p>
    <w:p>
      <w:pPr>
        <w:pStyle w:val="ListBullet"/>
        <w:spacing w:after="60"/>
      </w:pPr>
      <w:r>
        <w:rPr>
          <w:b/>
          <w:sz w:val="20"/>
        </w:rPr>
        <w:t xml:space="preserve">Never use private chat / direct message. </w:t>
      </w:r>
      <w:r>
        <w:rPr>
          <w:sz w:val="20"/>
        </w:rPr>
        <w:t>AS AN ANONYMOUS METHOD, UNDER ANY CIRCUMSTANCE. Private chat and direct messages are attributable to a sender by construction — the platform, and often Temidayo herself as recipient, knows exactly who sent each answer. Deleting the message afterward does not make the original disclosure anonymous; the disclosure already happened.</w:t>
      </w:r>
    </w:p>
    <w:p>
      <w:pPr>
        <w:pStyle w:val="ListBullet"/>
        <w:spacing w:after="60"/>
      </w:pPr>
      <w:r>
        <w:rPr>
          <w:b/>
          <w:sz w:val="20"/>
        </w:rPr>
        <w:t xml:space="preserve">Never enable. </w:t>
      </w:r>
      <w:r>
        <w:rPr>
          <w:sz w:val="20"/>
        </w:rPr>
        <w:t>respondent tracking, even if the tool offers it as a default — verify it is off.</w:t>
      </w:r>
    </w:p>
    <w:p>
      <w:pPr>
        <w:pStyle w:val="ListBullet"/>
        <w:spacing w:after="60"/>
      </w:pPr>
      <w:r>
        <w:rPr>
          <w:b/>
          <w:sz w:val="20"/>
        </w:rPr>
        <w:t xml:space="preserve">Never export. </w:t>
      </w:r>
      <w:r>
        <w:rPr>
          <w:sz w:val="20"/>
        </w:rPr>
        <w:t>a per-response file. Record totals by hand on the capture sheet and delete the poll data afterward.</w:t>
      </w:r>
    </w:p>
    <w:p>
      <w:pPr>
        <w:pStyle w:val="ListBullet"/>
        <w:spacing w:after="60"/>
      </w:pPr>
      <w:r>
        <w:rPr>
          <w:b/>
          <w:sz w:val="20"/>
        </w:rPr>
        <w:t xml:space="preserve">Never display or read out. </w:t>
      </w:r>
      <w:r>
        <w:rPr>
          <w:sz w:val="20"/>
        </w:rPr>
        <w:t>a count of 1 (a small cell). Record it internally on the capture sheet only — never displayed, never read aloud, never used to identify which participant it represents, and never used to justify or explain a teaching choice out loud.</w:t>
      </w:r>
    </w:p>
    <w:p>
      <w:pPr>
        <w:pStyle w:val="ListBullet"/>
        <w:spacing w:after="60"/>
      </w:pPr>
      <w:r>
        <w:rPr>
          <w:b/>
          <w:sz w:val="20"/>
        </w:rPr>
        <w:t xml:space="preserve">Never display or read out (separately). </w:t>
      </w:r>
      <w:r>
        <w:rPr>
          <w:sz w:val="20"/>
        </w:rPr>
        <w:t>the initial state distribution before the corrected placement.</w:t>
      </w:r>
    </w:p>
    <w:p>
      <w:pPr>
        <w:spacing w:after="160"/>
      </w:pPr>
      <w:r>
        <w:rPr>
          <w:b/>
          <w:i w:val="0"/>
          <w:color w:val="B00000"/>
          <w:sz w:val="21"/>
        </w:rPr>
        <w:t>Participant privacy outranks pilot data collection, without exception.</w:t>
      </w:r>
    </w:p>
    <w:p>
      <w:pPr>
        <w:spacing w:before="80" w:after="80"/>
      </w:pPr>
      <w:r>
        <w:rPr>
          <w:color w:val="555555"/>
          <w:sz w:val="16"/>
        </w:rPr>
        <w:t>――――――――――――――――――――――――――――――――――――――――――――――――――――――――――――――――――――――――――――――――――――――――――</w:t>
      </w:r>
    </w:p>
    <w:p>
      <w:pPr>
        <w:keepNext/>
        <w:spacing w:before="320" w:after="80"/>
      </w:pPr>
      <w:r>
        <w:rPr>
          <w:b/>
          <w:color w:val="0F2347"/>
          <w:sz w:val="26"/>
        </w:rPr>
        <w:t>Virtual backup hierarchy</w:t>
      </w:r>
    </w:p>
    <w:p>
      <w:pPr>
        <w:pStyle w:val="ListBullet"/>
        <w:spacing w:after="60"/>
      </w:pPr>
      <w:r>
        <w:rPr>
          <w:b/>
          <w:sz w:val="20"/>
        </w:rPr>
        <w:t xml:space="preserve">PRIMARY. </w:t>
      </w:r>
      <w:r>
        <w:rPr>
          <w:sz w:val="20"/>
        </w:rPr>
        <w:t>a pre-tested anonymous platform poll (Zoom polling or equivalent) or anonymous web-poll tool, with respondent identity explicitly disabled in settings and verified before the room opens.</w:t>
      </w:r>
    </w:p>
    <w:p>
      <w:pPr>
        <w:pStyle w:val="ListBullet"/>
        <w:spacing w:after="60"/>
      </w:pPr>
      <w:r>
        <w:rPr>
          <w:b/>
          <w:sz w:val="20"/>
        </w:rPr>
        <w:t xml:space="preserve">BACKUP. </w:t>
      </w:r>
      <w:r>
        <w:rPr>
          <w:sz w:val="20"/>
        </w:rPr>
        <w:t>a second, separately pre-tested anonymous web form/poll, configured so that: no login is required; names are not requested; emails are not collected; respondent identity is disabled; only aggregate totals are used. This is a genuinely different tool from the primary, not a fallback view of the same one.</w:t>
      </w:r>
    </w:p>
    <w:p>
      <w:pPr>
        <w:pStyle w:val="ListBullet"/>
        <w:spacing w:after="60"/>
      </w:pPr>
      <w:r>
        <w:rPr>
          <w:b/>
          <w:sz w:val="20"/>
        </w:rPr>
        <w:t xml:space="preserve">LAST RESORT. </w:t>
      </w:r>
      <w:r>
        <w:rPr>
          <w:sz w:val="20"/>
        </w:rPr>
        <w:t>"If no verified anonymous method is available, do not collect the count. Continue the participant experience and mark the metric unavailable on the operational capture sheet." Skipping a metric protects privacy; improvising an identifiable substitute does not.</w:t>
      </w:r>
    </w:p>
    <w:p>
      <w:pPr>
        <w:spacing w:after="160"/>
      </w:pPr>
      <w:r>
        <w:rPr>
          <w:b w:val="0"/>
          <w:i/>
          <w:color w:val="555555"/>
          <w:sz w:val="19"/>
        </w:rPr>
        <w:t>For in-person delivery only, unnumbered folded paper slips may remain an optional anonymous backup — they carry no identity marker by construction. Numbered cards remain withdrawn as a method.</w:t>
      </w:r>
    </w:p>
    <w:p>
      <w:pPr>
        <w:spacing w:before="80" w:after="80"/>
      </w:pPr>
      <w:r>
        <w:rPr>
          <w:color w:val="555555"/>
          <w:sz w:val="16"/>
        </w:rPr>
        <w:t>――――――――――――――――――――――――――――――――――――――――――――――――――――――――――――――――――――――――――――――――――――――――――</w:t>
      </w:r>
    </w:p>
    <w:p>
      <w:pPr>
        <w:keepNext/>
        <w:spacing w:before="320" w:after="80"/>
      </w:pPr>
      <w:r>
        <w:rPr>
          <w:b/>
          <w:color w:val="0F2347"/>
          <w:sz w:val="26"/>
        </w:rPr>
        <w:t>NO show-of-hands, ever, for:</w:t>
      </w:r>
    </w:p>
    <w:p>
      <w:pPr>
        <w:pStyle w:val="ListBullet"/>
        <w:spacing w:after="60"/>
      </w:pPr>
      <w:r>
        <w:rPr>
          <w:sz w:val="20"/>
        </w:rPr>
        <w:t>state (Compounding / Depth Trap / Stagnant / Fragile) · scores (Density, Optionality, any statement) · decision (Next-Move Decision, category of move) · employer · move category.</w:t>
      </w:r>
    </w:p>
    <w:p>
      <w:pPr>
        <w:spacing w:before="80" w:after="80"/>
      </w:pPr>
      <w:r>
        <w:rPr>
          <w:color w:val="555555"/>
          <w:sz w:val="16"/>
        </w:rPr>
        <w:t>――――――――――――――――――――――――――――――――――――――――――――――――――――――――――――――――――――――――――――――――――――――――――</w:t>
      </w:r>
    </w:p>
    <w:p>
      <w:pPr>
        <w:keepNext/>
        <w:spacing w:before="320" w:after="80"/>
      </w:pPr>
      <w:r>
        <w:rPr>
          <w:b/>
          <w:color w:val="0F2347"/>
          <w:sz w:val="26"/>
        </w:rPr>
        <w:t>POLL MOMENT A — Screen A1: readiness only</w:t>
      </w:r>
    </w:p>
    <w:p>
      <w:pPr>
        <w:spacing w:after="120"/>
      </w:pPr>
      <w:r>
        <w:rPr>
          <w:b w:val="0"/>
          <w:i/>
          <w:color w:val="555555"/>
          <w:sz w:val="19"/>
        </w:rPr>
        <w:t>Opens after the private scoring work on slide 20 (minute 24–31).</w:t>
      </w:r>
    </w:p>
    <w:tbl>
      <w:tblPr>
        <w:tblStyle w:val="LightGrid-Accent1"/>
        <w:tblW w:type="auto" w:w="0"/>
        <w:tblLook w:firstColumn="1" w:firstRow="1" w:lastColumn="0" w:lastRow="0" w:noHBand="0" w:noVBand="1" w:val="04A0"/>
      </w:tblPr>
      <w:tblGrid>
        <w:gridCol w:w="2556"/>
        <w:gridCol w:w="2556"/>
        <w:gridCol w:w="2556"/>
        <w:gridCol w:w="2556"/>
      </w:tblGrid>
      <w:tr>
        <w:tc>
          <w:tcPr>
            <w:tcW w:type="dxa" w:w="576"/>
            <w:shd w:val="clear" w:fill="0F2347"/>
          </w:tcPr>
          <w:p>
            <w:r/>
            <w:r>
              <w:rPr>
                <w:b/>
                <w:color w:val="FFFFFF"/>
                <w:sz w:val="18"/>
              </w:rPr>
              <w:t>Q</w:t>
            </w:r>
          </w:p>
        </w:tc>
        <w:tc>
          <w:tcPr>
            <w:tcW w:type="dxa" w:w="3744"/>
            <w:shd w:val="clear" w:fill="0F2347"/>
          </w:tcPr>
          <w:p>
            <w:r/>
            <w:r>
              <w:rPr>
                <w:b/>
                <w:color w:val="FFFFFF"/>
                <w:sz w:val="18"/>
              </w:rPr>
              <w:t>Question</w:t>
            </w:r>
          </w:p>
        </w:tc>
        <w:tc>
          <w:tcPr>
            <w:tcW w:type="dxa" w:w="2304"/>
            <w:shd w:val="clear" w:fill="0F2347"/>
          </w:tcPr>
          <w:p>
            <w:r/>
            <w:r>
              <w:rPr>
                <w:b/>
                <w:color w:val="FFFFFF"/>
                <w:sz w:val="18"/>
              </w:rPr>
              <w:t>Options</w:t>
            </w:r>
          </w:p>
        </w:tc>
        <w:tc>
          <w:tcPr>
            <w:tcW w:type="dxa" w:w="3312"/>
            <w:shd w:val="clear" w:fill="0F2347"/>
          </w:tcPr>
          <w:p>
            <w:r/>
            <w:r>
              <w:rPr>
                <w:b/>
                <w:color w:val="FFFFFF"/>
                <w:sz w:val="18"/>
              </w:rPr>
              <w:t>Notes</w:t>
            </w:r>
          </w:p>
        </w:tc>
      </w:tr>
      <w:tr>
        <w:tc>
          <w:tcPr>
            <w:tcW w:type="dxa" w:w="576"/>
          </w:tcPr>
          <w:p>
            <w:r/>
            <w:r>
              <w:rPr>
                <w:sz w:val="17"/>
              </w:rPr>
              <w:t>Q1</w:t>
            </w:r>
          </w:p>
        </w:tc>
        <w:tc>
          <w:tcPr>
            <w:tcW w:type="dxa" w:w="3744"/>
          </w:tcPr>
          <w:p>
            <w:r/>
            <w:r>
              <w:rPr>
                <w:sz w:val="17"/>
              </w:rPr>
              <w:t>"I have completed all 12 initial scores, both totals, my initial placement, and my confidence number."</w:t>
            </w:r>
          </w:p>
        </w:tc>
        <w:tc>
          <w:tcPr>
            <w:tcW w:type="dxa" w:w="2304"/>
          </w:tcPr>
          <w:p>
            <w:r/>
            <w:r>
              <w:rPr>
                <w:sz w:val="17"/>
              </w:rPr>
              <w:t>Ready / I need one more minute</w:t>
            </w:r>
          </w:p>
        </w:tc>
        <w:tc>
          <w:tcPr>
            <w:tcW w:type="dxa" w:w="3312"/>
          </w:tcPr>
          <w:p>
            <w:r/>
            <w:r>
              <w:rPr>
                <w:sz w:val="17"/>
              </w:rPr>
              <w:t>Operational only — never retained as research data. Do NOT ask for placement on this screen.</w:t>
            </w:r>
          </w:p>
        </w:tc>
      </w:tr>
    </w:tbl>
    <w:p>
      <w:pPr>
        <w:spacing w:after="120"/>
      </w:pPr>
    </w:p>
    <w:p>
      <w:pPr>
        <w:spacing w:after="160"/>
      </w:pPr>
      <w:r>
        <w:rPr>
          <w:b w:val="0"/>
          <w:i w:val="0"/>
          <w:color w:val="000000"/>
          <w:sz w:val="20"/>
        </w:rPr>
        <w:t>Before advancing to Screen A2: verify the response count equals the number of active participants (excluding the facilitator), and every submitted response says Ready. If the count is short: "One or more responses are still outstanding. Take the minute you need and submit when ready." If any response says "I need one more minute," give the room one additional minute and repeat the readiness check as needed. Do not release Part B, and do not open Screen A2, merely because the clock reached minute 31.</w:t>
      </w:r>
    </w:p>
    <w:p>
      <w:pPr>
        <w:keepNext/>
        <w:spacing w:before="320" w:after="80"/>
      </w:pPr>
      <w:r>
        <w:rPr>
          <w:b/>
          <w:color w:val="0F2347"/>
          <w:sz w:val="26"/>
        </w:rPr>
        <w:t>POLL MOMENT A — Screen A2: initial placement</w:t>
      </w:r>
    </w:p>
    <w:p>
      <w:pPr>
        <w:spacing w:after="120"/>
      </w:pPr>
      <w:r>
        <w:rPr>
          <w:b w:val="0"/>
          <w:i/>
          <w:color w:val="555555"/>
          <w:sz w:val="19"/>
        </w:rPr>
        <w:t>Opens only after every active participant is confirmed ready on Screen A1.</w:t>
      </w:r>
    </w:p>
    <w:tbl>
      <w:tblPr>
        <w:tblStyle w:val="LightGrid-Accent1"/>
        <w:tblW w:type="auto" w:w="0"/>
        <w:tblLook w:firstColumn="1" w:firstRow="1" w:lastColumn="0" w:lastRow="0" w:noHBand="0" w:noVBand="1" w:val="04A0"/>
      </w:tblPr>
      <w:tblGrid>
        <w:gridCol w:w="2556"/>
        <w:gridCol w:w="2556"/>
        <w:gridCol w:w="2556"/>
        <w:gridCol w:w="2556"/>
      </w:tblGrid>
      <w:tr>
        <w:tc>
          <w:tcPr>
            <w:tcW w:type="dxa" w:w="576"/>
            <w:shd w:val="clear" w:fill="0F2347"/>
          </w:tcPr>
          <w:p>
            <w:r/>
            <w:r>
              <w:rPr>
                <w:b/>
                <w:color w:val="FFFFFF"/>
                <w:sz w:val="18"/>
              </w:rPr>
              <w:t>Q</w:t>
            </w:r>
          </w:p>
        </w:tc>
        <w:tc>
          <w:tcPr>
            <w:tcW w:type="dxa" w:w="3024"/>
            <w:shd w:val="clear" w:fill="0F2347"/>
          </w:tcPr>
          <w:p>
            <w:r/>
            <w:r>
              <w:rPr>
                <w:b/>
                <w:color w:val="FFFFFF"/>
                <w:sz w:val="18"/>
              </w:rPr>
              <w:t>Question</w:t>
            </w:r>
          </w:p>
        </w:tc>
        <w:tc>
          <w:tcPr>
            <w:tcW w:type="dxa" w:w="2736"/>
            <w:shd w:val="clear" w:fill="0F2347"/>
          </w:tcPr>
          <w:p>
            <w:r/>
            <w:r>
              <w:rPr>
                <w:b/>
                <w:color w:val="FFFFFF"/>
                <w:sz w:val="18"/>
              </w:rPr>
              <w:t>Options</w:t>
            </w:r>
          </w:p>
        </w:tc>
        <w:tc>
          <w:tcPr>
            <w:tcW w:type="dxa" w:w="3456"/>
            <w:shd w:val="clear" w:fill="0F2347"/>
          </w:tcPr>
          <w:p>
            <w:r/>
            <w:r>
              <w:rPr>
                <w:b/>
                <w:color w:val="FFFFFF"/>
                <w:sz w:val="18"/>
              </w:rPr>
              <w:t>Notes</w:t>
            </w:r>
          </w:p>
        </w:tc>
      </w:tr>
      <w:tr>
        <w:tc>
          <w:tcPr>
            <w:tcW w:type="dxa" w:w="576"/>
          </w:tcPr>
          <w:p>
            <w:r/>
            <w:r>
              <w:rPr>
                <w:sz w:val="17"/>
              </w:rPr>
              <w:t>Q1</w:t>
            </w:r>
          </w:p>
        </w:tc>
        <w:tc>
          <w:tcPr>
            <w:tcW w:type="dxa" w:w="3024"/>
          </w:tcPr>
          <w:p>
            <w:r/>
            <w:r>
              <w:rPr>
                <w:sz w:val="17"/>
              </w:rPr>
              <w:t>My initial reading is:</w:t>
            </w:r>
          </w:p>
        </w:tc>
        <w:tc>
          <w:tcPr>
            <w:tcW w:type="dxa" w:w="2736"/>
          </w:tcPr>
          <w:p>
            <w:r/>
            <w:r>
              <w:rPr>
                <w:sz w:val="17"/>
              </w:rPr>
              <w:t>Compounding / Depth Trap / Stagnant / Fragile / Boundary — open</w:t>
            </w:r>
          </w:p>
        </w:tc>
        <w:tc>
          <w:tcPr>
            <w:tcW w:type="dxa" w:w="3456"/>
          </w:tcPr>
          <w:p>
            <w:r/>
            <w:r>
              <w:rPr>
                <w:sz w:val="17"/>
              </w:rPr>
              <w:t>Do NOT include "Incomplete," confidence, or readiness on this screen. The incomplete-axis procedure has not been introduced on the initial read.</w:t>
            </w:r>
          </w:p>
        </w:tc>
      </w:tr>
    </w:tbl>
    <w:p>
      <w:pPr>
        <w:spacing w:after="120"/>
      </w:pPr>
    </w:p>
    <w:p>
      <w:pPr>
        <w:spacing w:after="160"/>
      </w:pPr>
      <w:r>
        <w:rPr>
          <w:b/>
          <w:i w:val="0"/>
          <w:color w:val="B00000"/>
          <w:sz w:val="20"/>
        </w:rPr>
        <w:t>Do NOT collect the initial confidence number through this or any poll — it is written privately in Part A and never leaves the workbook. Do not display the initial placement distribution until after the corrected placement. Once Screen A2's response count equals the number of active participants, Part B is released.</w:t>
      </w:r>
    </w:p>
    <w:p>
      <w:pPr>
        <w:spacing w:before="80" w:after="80"/>
      </w:pPr>
      <w:r>
        <w:rPr>
          <w:color w:val="555555"/>
          <w:sz w:val="16"/>
        </w:rPr>
        <w:t>――――――――――――――――――――――――――――――――――――――――――――――――――――――――――――――――――――――――――――――――――――――――――</w:t>
      </w:r>
    </w:p>
    <w:p>
      <w:pPr>
        <w:keepNext/>
        <w:spacing w:before="320" w:after="80"/>
      </w:pPr>
      <w:r>
        <w:rPr>
          <w:b/>
          <w:color w:val="0F2347"/>
          <w:sz w:val="26"/>
        </w:rPr>
        <w:t>64–71 — corrected sequence (sensitivity BEFORE finalized placement, before Poll B)</w:t>
      </w:r>
    </w:p>
    <w:p>
      <w:pPr>
        <w:pStyle w:val="ListBullet"/>
        <w:spacing w:after="60"/>
      </w:pPr>
      <w:r>
        <w:rPr>
          <w:b/>
          <w:sz w:val="20"/>
        </w:rPr>
        <w:t xml:space="preserve">Slide 30. </w:t>
      </w:r>
      <w:r>
        <w:rPr>
          <w:sz w:val="20"/>
        </w:rPr>
        <w:t>participants re-total both axes. Do NOT finalize corrected placement yet. NO poll is triggered. Exact facilitator line: "Re-total both axes now. Hold your final placement for one more step. We are going to test any question-marked item before you place."</w:t>
      </w:r>
    </w:p>
    <w:p>
      <w:pPr>
        <w:pStyle w:val="ListBullet"/>
        <w:spacing w:after="60"/>
      </w:pPr>
      <w:r>
        <w:rPr>
          <w:b/>
          <w:sz w:val="20"/>
        </w:rPr>
        <w:t xml:space="preserve">Slide 31. </w:t>
      </w:r>
      <w:r>
        <w:rPr>
          <w:sz w:val="20"/>
        </w:rPr>
        <w:t>teach and run the neighbouring-score sensitivity procedure — one consistent room-wide sequence, including participants with no question-marked items (they treat it as not applicable). THEN finalize corrected placement, record corrected confidence and date. ONLY THEN does Poll B open.</w:t>
      </w:r>
    </w:p>
    <w:p>
      <w:pPr>
        <w:spacing w:after="160"/>
      </w:pPr>
      <w:r>
        <w:rPr>
          <w:b w:val="0"/>
          <w:i/>
          <w:color w:val="555555"/>
          <w:sz w:val="19"/>
        </w:rPr>
        <w:t>This order matches the frozen v5.2.1 Presenter Notes directly: if any axis has a question-marked item, the neighbouring-score sensitivity check runs before corrected placement — and, in this architecture, before that placement is polled.</w:t>
      </w:r>
    </w:p>
    <w:p>
      <w:pPr>
        <w:keepNext/>
        <w:spacing w:before="320" w:after="80"/>
      </w:pPr>
      <w:r>
        <w:rPr>
          <w:b/>
          <w:color w:val="0F2347"/>
          <w:sz w:val="26"/>
        </w:rPr>
        <w:t>POLL MOMENT B — Corrected placement + corrected confidence + uncertainty + sensitivity</w:t>
      </w:r>
    </w:p>
    <w:p>
      <w:pPr>
        <w:spacing w:after="120"/>
      </w:pPr>
      <w:r>
        <w:rPr>
          <w:b w:val="0"/>
          <w:i/>
          <w:color w:val="555555"/>
          <w:sz w:val="19"/>
        </w:rPr>
        <w:t>Opens only after BOTH: the sensitivity procedure is fully taught, AND every participant has finalized their corrected placement. One combined multi-question screen, five questions.</w:t>
      </w:r>
    </w:p>
    <w:tbl>
      <w:tblPr>
        <w:tblStyle w:val="LightGrid-Accent1"/>
        <w:tblW w:type="auto" w:w="0"/>
        <w:tblLook w:firstColumn="1" w:firstRow="1" w:lastColumn="0" w:lastRow="0" w:noHBand="0" w:noVBand="1" w:val="04A0"/>
      </w:tblPr>
      <w:tblGrid>
        <w:gridCol w:w="3408"/>
        <w:gridCol w:w="3408"/>
        <w:gridCol w:w="3408"/>
      </w:tblGrid>
      <w:tr>
        <w:tc>
          <w:tcPr>
            <w:tcW w:type="dxa" w:w="576"/>
            <w:shd w:val="clear" w:fill="0F2347"/>
          </w:tcPr>
          <w:p>
            <w:r/>
            <w:r>
              <w:rPr>
                <w:b/>
                <w:color w:val="FFFFFF"/>
                <w:sz w:val="18"/>
              </w:rPr>
              <w:t>Q</w:t>
            </w:r>
          </w:p>
        </w:tc>
        <w:tc>
          <w:tcPr>
            <w:tcW w:type="dxa" w:w="4176"/>
            <w:shd w:val="clear" w:fill="0F2347"/>
          </w:tcPr>
          <w:p>
            <w:r/>
            <w:r>
              <w:rPr>
                <w:b/>
                <w:color w:val="FFFFFF"/>
                <w:sz w:val="18"/>
              </w:rPr>
              <w:t>Question</w:t>
            </w:r>
          </w:p>
        </w:tc>
        <w:tc>
          <w:tcPr>
            <w:tcW w:type="dxa" w:w="5040"/>
            <w:shd w:val="clear" w:fill="0F2347"/>
          </w:tcPr>
          <w:p>
            <w:r/>
            <w:r>
              <w:rPr>
                <w:b/>
                <w:color w:val="FFFFFF"/>
                <w:sz w:val="18"/>
              </w:rPr>
              <w:t>Options</w:t>
            </w:r>
          </w:p>
        </w:tc>
      </w:tr>
      <w:tr>
        <w:tc>
          <w:tcPr>
            <w:tcW w:type="dxa" w:w="576"/>
          </w:tcPr>
          <w:p>
            <w:r/>
            <w:r>
              <w:rPr>
                <w:sz w:val="17"/>
              </w:rPr>
              <w:t>Q1</w:t>
            </w:r>
          </w:p>
        </w:tc>
        <w:tc>
          <w:tcPr>
            <w:tcW w:type="dxa" w:w="4176"/>
          </w:tcPr>
          <w:p>
            <w:r/>
            <w:r>
              <w:rPr>
                <w:sz w:val="17"/>
              </w:rPr>
              <w:t>Corrected placement:</w:t>
            </w:r>
          </w:p>
        </w:tc>
        <w:tc>
          <w:tcPr>
            <w:tcW w:type="dxa" w:w="5040"/>
          </w:tcPr>
          <w:p>
            <w:r/>
            <w:r>
              <w:rPr>
                <w:sz w:val="17"/>
              </w:rPr>
              <w:t>Compounding / Depth Trap / Stagnant / Fragile / Boundary — open / Incomplete axis</w:t>
            </w:r>
          </w:p>
        </w:tc>
      </w:tr>
      <w:tr>
        <w:tc>
          <w:tcPr>
            <w:tcW w:type="dxa" w:w="576"/>
          </w:tcPr>
          <w:p>
            <w:r/>
            <w:r>
              <w:rPr>
                <w:sz w:val="17"/>
              </w:rPr>
              <w:t>Q2</w:t>
            </w:r>
          </w:p>
        </w:tc>
        <w:tc>
          <w:tcPr>
            <w:tcW w:type="dxa" w:w="4176"/>
          </w:tcPr>
          <w:p>
            <w:r/>
            <w:r>
              <w:rPr>
                <w:sz w:val="17"/>
              </w:rPr>
              <w:t>Corrected confidence:</w:t>
            </w:r>
          </w:p>
        </w:tc>
        <w:tc>
          <w:tcPr>
            <w:tcW w:type="dxa" w:w="5040"/>
          </w:tcPr>
          <w:p>
            <w:r/>
            <w:r>
              <w:rPr>
                <w:sz w:val="17"/>
              </w:rPr>
              <w:t>1 / 2 / 3 / 4 / 5</w:t>
            </w:r>
          </w:p>
        </w:tc>
      </w:tr>
      <w:tr>
        <w:tc>
          <w:tcPr>
            <w:tcW w:type="dxa" w:w="576"/>
          </w:tcPr>
          <w:p>
            <w:r/>
            <w:r>
              <w:rPr>
                <w:sz w:val="17"/>
              </w:rPr>
              <w:t>Q3</w:t>
            </w:r>
          </w:p>
        </w:tc>
        <w:tc>
          <w:tcPr>
            <w:tcW w:type="dxa" w:w="4176"/>
          </w:tcPr>
          <w:p>
            <w:r/>
            <w:r>
              <w:rPr>
                <w:sz w:val="17"/>
              </w:rPr>
              <w:t>Did you have at least one question-marked item?</w:t>
            </w:r>
          </w:p>
        </w:tc>
        <w:tc>
          <w:tcPr>
            <w:tcW w:type="dxa" w:w="5040"/>
          </w:tcPr>
          <w:p>
            <w:r/>
            <w:r>
              <w:rPr>
                <w:sz w:val="17"/>
              </w:rPr>
              <w:t>Yes / No</w:t>
            </w:r>
          </w:p>
        </w:tc>
      </w:tr>
      <w:tr>
        <w:tc>
          <w:tcPr>
            <w:tcW w:type="dxa" w:w="576"/>
          </w:tcPr>
          <w:p>
            <w:r/>
            <w:r>
              <w:rPr>
                <w:sz w:val="17"/>
              </w:rPr>
              <w:t>Q4</w:t>
            </w:r>
          </w:p>
        </w:tc>
        <w:tc>
          <w:tcPr>
            <w:tcW w:type="dxa" w:w="4176"/>
          </w:tcPr>
          <w:p>
            <w:r/>
            <w:r>
              <w:rPr>
                <w:sz w:val="17"/>
              </w:rPr>
              <w:t>Did either axis have three or more question-marked items?</w:t>
            </w:r>
          </w:p>
        </w:tc>
        <w:tc>
          <w:tcPr>
            <w:tcW w:type="dxa" w:w="5040"/>
          </w:tcPr>
          <w:p>
            <w:r/>
            <w:r>
              <w:rPr>
                <w:sz w:val="17"/>
              </w:rPr>
              <w:t>Yes / No</w:t>
            </w:r>
          </w:p>
        </w:tc>
      </w:tr>
      <w:tr>
        <w:tc>
          <w:tcPr>
            <w:tcW w:type="dxa" w:w="576"/>
          </w:tcPr>
          <w:p>
            <w:r/>
            <w:r>
              <w:rPr>
                <w:sz w:val="17"/>
              </w:rPr>
              <w:t>Q5</w:t>
            </w:r>
          </w:p>
        </w:tc>
        <w:tc>
          <w:tcPr>
            <w:tcW w:type="dxa" w:w="4176"/>
          </w:tcPr>
          <w:p>
            <w:r/>
            <w:r>
              <w:rPr>
                <w:sz w:val="17"/>
              </w:rPr>
              <w:t>What did the neighbouring-score sensitivity check do?</w:t>
            </w:r>
          </w:p>
        </w:tc>
        <w:tc>
          <w:tcPr>
            <w:tcW w:type="dxa" w:w="5040"/>
          </w:tcPr>
          <w:p>
            <w:r/>
            <w:r>
              <w:rPr>
                <w:sz w:val="17"/>
              </w:rPr>
              <w:t>Changed my placement / Held my placement open-provisional / Neither / Not applicable — I had no question-marked item</w:t>
            </w:r>
          </w:p>
        </w:tc>
      </w:tr>
    </w:tbl>
    <w:p>
      <w:pPr>
        <w:spacing w:after="120"/>
      </w:pPr>
    </w:p>
    <w:p>
      <w:pPr>
        <w:spacing w:after="160"/>
      </w:pPr>
      <w:r>
        <w:rPr>
          <w:b/>
          <w:i w:val="0"/>
          <w:color w:val="B00000"/>
          <w:sz w:val="20"/>
        </w:rPr>
        <w:t>This must occur AFTER the sensitivity procedure AND after placement is finalized — never before either.</w:t>
      </w:r>
    </w:p>
    <w:p>
      <w:pPr>
        <w:spacing w:before="80" w:after="80"/>
      </w:pPr>
      <w:r>
        <w:rPr>
          <w:color w:val="555555"/>
          <w:sz w:val="16"/>
        </w:rPr>
        <w:t>――――――――――――――――――――――――――――――――――――――――――――――――――――――――――――――――――――――――――――――――――――――――――</w:t>
      </w:r>
    </w:p>
    <w:p>
      <w:pPr>
        <w:keepNext/>
        <w:spacing w:before="320" w:after="80"/>
      </w:pPr>
      <w:r>
        <w:rPr>
          <w:b/>
          <w:color w:val="0F2347"/>
          <w:sz w:val="26"/>
        </w:rPr>
        <w:t>POLL MOMENT C — What moved (final required live poll)</w:t>
      </w:r>
    </w:p>
    <w:p>
      <w:pPr>
        <w:spacing w:after="120"/>
      </w:pPr>
      <w:r>
        <w:rPr>
          <w:b w:val="0"/>
          <w:i/>
          <w:color w:val="555555"/>
          <w:sz w:val="19"/>
        </w:rPr>
        <w:t>Opens after slide 32 (minute 71–77). One screen, three questions.</w:t>
      </w:r>
    </w:p>
    <w:tbl>
      <w:tblPr>
        <w:tblStyle w:val="LightGrid-Accent1"/>
        <w:tblW w:type="auto" w:w="0"/>
        <w:tblLook w:firstColumn="1" w:firstRow="1" w:lastColumn="0" w:lastRow="0" w:noHBand="0" w:noVBand="1" w:val="04A0"/>
      </w:tblPr>
      <w:tblGrid>
        <w:gridCol w:w="3408"/>
        <w:gridCol w:w="3408"/>
        <w:gridCol w:w="3408"/>
      </w:tblGrid>
      <w:tr>
        <w:tc>
          <w:tcPr>
            <w:tcW w:type="dxa" w:w="576"/>
            <w:shd w:val="clear" w:fill="0F2347"/>
          </w:tcPr>
          <w:p>
            <w:r/>
            <w:r>
              <w:rPr>
                <w:b/>
                <w:color w:val="FFFFFF"/>
                <w:sz w:val="18"/>
              </w:rPr>
              <w:t>Q</w:t>
            </w:r>
          </w:p>
        </w:tc>
        <w:tc>
          <w:tcPr>
            <w:tcW w:type="dxa" w:w="4896"/>
            <w:shd w:val="clear" w:fill="0F2347"/>
          </w:tcPr>
          <w:p>
            <w:r/>
            <w:r>
              <w:rPr>
                <w:b/>
                <w:color w:val="FFFFFF"/>
                <w:sz w:val="18"/>
              </w:rPr>
              <w:t>Question</w:t>
            </w:r>
          </w:p>
        </w:tc>
        <w:tc>
          <w:tcPr>
            <w:tcW w:type="dxa" w:w="4320"/>
            <w:shd w:val="clear" w:fill="0F2347"/>
          </w:tcPr>
          <w:p>
            <w:r/>
            <w:r>
              <w:rPr>
                <w:b/>
                <w:color w:val="FFFFFF"/>
                <w:sz w:val="18"/>
              </w:rPr>
              <w:t>Options</w:t>
            </w:r>
          </w:p>
        </w:tc>
      </w:tr>
      <w:tr>
        <w:tc>
          <w:tcPr>
            <w:tcW w:type="dxa" w:w="576"/>
          </w:tcPr>
          <w:p>
            <w:r/>
            <w:r>
              <w:rPr>
                <w:sz w:val="17"/>
              </w:rPr>
              <w:t>Q1</w:t>
            </w:r>
          </w:p>
        </w:tc>
        <w:tc>
          <w:tcPr>
            <w:tcW w:type="dxa" w:w="4896"/>
          </w:tcPr>
          <w:p>
            <w:r/>
            <w:r>
              <w:rPr>
                <w:sz w:val="17"/>
              </w:rPr>
              <w:t>Did either axis total change by 2+ points?</w:t>
            </w:r>
          </w:p>
        </w:tc>
        <w:tc>
          <w:tcPr>
            <w:tcW w:type="dxa" w:w="4320"/>
          </w:tcPr>
          <w:p>
            <w:r/>
            <w:r>
              <w:rPr>
                <w:sz w:val="17"/>
              </w:rPr>
              <w:t>Yes / No</w:t>
            </w:r>
          </w:p>
        </w:tc>
      </w:tr>
      <w:tr>
        <w:tc>
          <w:tcPr>
            <w:tcW w:type="dxa" w:w="576"/>
          </w:tcPr>
          <w:p>
            <w:r/>
            <w:r>
              <w:rPr>
                <w:sz w:val="17"/>
              </w:rPr>
              <w:t>Q2</w:t>
            </w:r>
          </w:p>
        </w:tc>
        <w:tc>
          <w:tcPr>
            <w:tcW w:type="dxa" w:w="4896"/>
          </w:tcPr>
          <w:p>
            <w:r/>
            <w:r>
              <w:rPr>
                <w:sz w:val="17"/>
              </w:rPr>
              <w:t>Did your placement change?</w:t>
            </w:r>
          </w:p>
        </w:tc>
        <w:tc>
          <w:tcPr>
            <w:tcW w:type="dxa" w:w="4320"/>
          </w:tcPr>
          <w:p>
            <w:r/>
            <w:r>
              <w:rPr>
                <w:sz w:val="17"/>
              </w:rPr>
              <w:t>Yes / No</w:t>
            </w:r>
          </w:p>
        </w:tc>
      </w:tr>
      <w:tr>
        <w:tc>
          <w:tcPr>
            <w:tcW w:type="dxa" w:w="576"/>
          </w:tcPr>
          <w:p>
            <w:r/>
            <w:r>
              <w:rPr>
                <w:sz w:val="17"/>
              </w:rPr>
              <w:t>Q3</w:t>
            </w:r>
          </w:p>
        </w:tc>
        <w:tc>
          <w:tcPr>
            <w:tcW w:type="dxa" w:w="4896"/>
          </w:tcPr>
          <w:p>
            <w:r/>
            <w:r>
              <w:rPr>
                <w:sz w:val="17"/>
              </w:rPr>
              <w:t>Compared with your first placement, your confidence is:</w:t>
            </w:r>
          </w:p>
        </w:tc>
        <w:tc>
          <w:tcPr>
            <w:tcW w:type="dxa" w:w="4320"/>
          </w:tcPr>
          <w:p>
            <w:r/>
            <w:r>
              <w:rPr>
                <w:sz w:val="17"/>
              </w:rPr>
              <w:t>Down / Same / Up</w:t>
            </w:r>
          </w:p>
        </w:tc>
      </w:tr>
    </w:tbl>
    <w:p>
      <w:pPr>
        <w:spacing w:after="120"/>
      </w:pPr>
    </w:p>
    <w:p>
      <w:pPr>
        <w:spacing w:after="120"/>
      </w:pPr>
      <w:r>
        <w:rPr>
          <w:b/>
          <w:i w:val="0"/>
          <w:color w:val="B00000"/>
          <w:sz w:val="20"/>
        </w:rPr>
        <w:t>Summarize the room-level pattern without reading any singleton cell. A count of one stays internal. If all relevant cells are too small to summarize safely, state only that the room showed varied movement and continue.</w:t>
      </w:r>
    </w:p>
    <w:p>
      <w:pPr>
        <w:spacing w:after="160"/>
      </w:pPr>
      <w:r>
        <w:rPr>
          <w:b/>
          <w:i w:val="0"/>
          <w:color w:val="1A7A1A"/>
          <w:sz w:val="21"/>
        </w:rPr>
        <w:t>This is the final required live poll. Three required live polling moments total. The optional pre-session arrival poll (slide 2) remains separate and optional.</w:t>
      </w:r>
    </w:p>
    <w:p>
      <w:pPr>
        <w:spacing w:before="80" w:after="80"/>
      </w:pPr>
      <w:r>
        <w:rPr>
          <w:color w:val="555555"/>
          <w:sz w:val="16"/>
        </w:rPr>
        <w:t>――――――――――――――――――――――――――――――――――――――――――――――――――――――――――――――――――――――――――――――――――――――――――</w:t>
      </w:r>
    </w:p>
    <w:p>
      <w:pPr>
        <w:keepNext/>
        <w:spacing w:before="320" w:after="80"/>
      </w:pPr>
      <w:r>
        <w:rPr>
          <w:b/>
          <w:color w:val="0F2347"/>
          <w:sz w:val="26"/>
        </w:rPr>
        <w:t>What Poll B's corrected-placement count is used for</w:t>
      </w:r>
    </w:p>
    <w:p>
      <w:pPr>
        <w:spacing w:after="160"/>
      </w:pPr>
      <w:r>
        <w:rPr>
          <w:b w:val="0"/>
          <w:i w:val="0"/>
          <w:color w:val="000000"/>
          <w:sz w:val="20"/>
        </w:rPr>
        <w:t>The corrected-placement distribution captured in Poll B — not the initial-placement distribution from Screen A2 — is what drives the decision at 77–84 of which state(s) to teach in depth during the state-cost segment, SUBJECT TO SMALL-CELL SUPPRESSION: deepen a state only when at least two participants are represented in it. If no corrected state reaches two or more, teach all four states evenly and do not disclose the distribution or explain that the balanced approach was caused by a singleton. If multiple states qualify, choose the heaviest one or two without announcing their counts.</w:t>
      </w:r>
    </w:p>
    <w:p>
      <w:pPr>
        <w:spacing w:before="80" w:after="80"/>
      </w:pPr>
      <w:r>
        <w:rPr>
          <w:color w:val="555555"/>
          <w:sz w:val="16"/>
        </w:rPr>
        <w:t>――――――――――――――――――――――――――――――――――――――――――――――――――――――――――――――――――――――――――――――――――――――――――</w:t>
      </w:r>
    </w:p>
    <w:p>
      <w:pPr>
        <w:keepNext/>
        <w:spacing w:before="320" w:after="80"/>
      </w:pPr>
      <w:r>
        <w:rPr>
          <w:b/>
          <w:color w:val="0F2347"/>
          <w:sz w:val="26"/>
        </w:rPr>
        <w:t>Test checklist — run before every room opens</w:t>
      </w:r>
    </w:p>
    <w:p>
      <w:pPr>
        <w:pStyle w:val="ListBullet"/>
        <w:spacing w:after="60"/>
      </w:pPr>
      <w:r>
        <w:rPr>
          <w:sz w:val="20"/>
        </w:rPr>
        <w:t>Run Screen A1, Screen A2, Poll B, and Poll C end to end from a second device, as a participant would.</w:t>
      </w:r>
    </w:p>
    <w:p>
      <w:pPr>
        <w:pStyle w:val="ListBullet"/>
        <w:spacing w:after="60"/>
      </w:pPr>
      <w:r>
        <w:rPr>
          <w:sz w:val="20"/>
        </w:rPr>
        <w:t>Confirm no response is attributable to a person, on both the primary and the backup tool.</w:t>
      </w:r>
    </w:p>
    <w:p>
      <w:pPr>
        <w:pStyle w:val="ListBullet"/>
        <w:spacing w:after="60"/>
      </w:pPr>
      <w:r>
        <w:rPr>
          <w:sz w:val="20"/>
        </w:rPr>
        <w:t>Confirm totals display without a per-person breakdown, and that a count of 1 can be suppressed from display.</w:t>
      </w:r>
    </w:p>
    <w:p>
      <w:pPr>
        <w:pStyle w:val="ListBullet"/>
        <w:spacing w:after="60"/>
      </w:pPr>
      <w:r>
        <w:rPr>
          <w:sz w:val="20"/>
        </w:rPr>
        <w:t>Confirm the backup anonymous poll is a genuinely separate, pre-tested tool — not a fallback view of the primary tool.</w:t>
      </w:r>
    </w:p>
    <w:p>
      <w:pPr>
        <w:pStyle w:val="ListBullet"/>
        <w:spacing w:after="60"/>
      </w:pPr>
      <w:r>
        <w:rPr>
          <w:sz w:val="20"/>
        </w:rPr>
        <w:t>Confirm you know how to mark a metric "unavailable" on the capture sheet if both the primary and backup fail — this decision is scripted in advance, never improvised live.</w:t>
      </w:r>
    </w:p>
    <w:p>
      <w:pPr>
        <w:spacing w:after="120"/>
      </w:pPr>
      <w:r>
        <w:rPr>
          <w:b w:val="0"/>
          <w:i/>
          <w:color w:val="555555"/>
          <w:sz w:val="19"/>
        </w:rPr>
        <w:t>The anonymous-poll row in the Phase2B QA Report reads FAIL until this test has been run and confirmed for the specific delivery date.</w:t>
      </w:r>
    </w:p>
    <w:p>
      <w:pPr>
        <w:spacing w:before="80" w:after="80"/>
      </w:pPr>
      <w:r>
        <w:rPr>
          <w:color w:val="555555"/>
          <w:sz w:val="16"/>
        </w:rPr>
        <w:t>――――――――――――――――――――――――――――――――――――――――――――――――――――――――――――――――――――――――――――――――――――――――――</w:t>
      </w:r>
    </w:p>
    <w:p>
      <w:pPr>
        <w:spacing w:after="120"/>
      </w:pPr>
      <w:r>
        <w:rPr>
          <w:b/>
          <w:i w:val="0"/>
          <w:color w:val="555555"/>
          <w:sz w:val="16"/>
        </w:rPr>
        <w:t>PAID WORKSHOP — ANONYMOUS POLL SETUP AND BACKUP v1.2</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