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5400"/>
            <w:shd w:val="clear" w:fill="0F2347"/>
          </w:tcPr>
          <w:p>
            <w:r>
              <w:rPr>
                <w:b/>
                <w:color w:val="FFFFFF"/>
                <w:sz w:val="44"/>
              </w:rPr>
              <w:t>THE CLOCK</w:t>
            </w:r>
          </w:p>
        </w:tc>
        <w:tc>
          <w:tcPr>
            <w:tcW w:type="dxa" w:w="5400"/>
            <w:shd w:val="clear" w:fill="0F2347"/>
          </w:tcPr>
          <w:p>
            <w:pPr>
              <w:jc w:val="right"/>
            </w:pPr>
            <w:r>
              <w:rPr>
                <w:color w:val="FFFFFF"/>
                <w:sz w:val="19"/>
              </w:rPr>
              <w:t>Decide Whether to Stay or Leave Your Job</w:t>
              <w:br/>
            </w:r>
            <w:r>
              <w:rPr>
                <w:i/>
                <w:color w:val="FFFFFF"/>
                <w:sz w:val="16"/>
              </w:rPr>
              <w:t>Live Delivery Control Card v1.2 — page 1 of 2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9504"/>
      </w:tblGrid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0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Start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8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NEW-ENTRANT CUTOFF / METHOD BEGINS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14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Initial scoring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24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Place (A1 ready → A2 placement)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31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PART B — RELEASE ONLY WHEN A1+A2 READY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33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Calibration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48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Second read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64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SENSITIVITY, THEN FINALIZE PLACEMENT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71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What moved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77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State cost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>
              <w:rPr>
                <w:b/>
                <w:color w:val="0F2347"/>
                <w:sz w:val="36"/>
              </w:rPr>
              <w:t>84</w:t>
            </w:r>
          </w:p>
        </w:tc>
        <w:tc>
          <w:tcPr>
            <w:tcW w:type="dxa" w:w="9504"/>
          </w:tcPr>
          <w:p>
            <w:r>
              <w:rPr>
                <w:b w:val="0"/>
                <w:color w:val="000000"/>
                <w:sz w:val="25"/>
              </w:rPr>
              <w:t>Move category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88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SILENT WRITING START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94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TWO-MINUTE WARNING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96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END WRITING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100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BEGIN CLOSE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105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Q&amp;A — HARD START</w:t>
            </w:r>
          </w:p>
        </w:tc>
      </w:tr>
      <w:tr>
        <w:tc>
          <w:tcPr>
            <w:tcW w:type="dxa" w:w="1296"/>
            <w:shd w:val="clear" w:fill="FBEFD2"/>
          </w:tcPr>
          <w:p>
            <w:pPr>
              <w:jc w:val="right"/>
            </w:pPr>
            <w:r>
              <w:rPr>
                <w:b/>
                <w:color w:val="B00000"/>
                <w:sz w:val="36"/>
              </w:rPr>
              <w:t>120</w:t>
            </w:r>
          </w:p>
        </w:tc>
        <w:tc>
          <w:tcPr>
            <w:tcW w:type="dxa" w:w="9504"/>
            <w:shd w:val="clear" w:fill="FBEFD2"/>
          </w:tcPr>
          <w:p>
            <w:r>
              <w:rPr>
                <w:b/>
                <w:color w:val="B00000"/>
                <w:sz w:val="25"/>
              </w:rPr>
              <w:t>END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i/>
          <w:color w:val="555555"/>
          <w:sz w:val="18"/>
        </w:rPr>
        <w:t>12-participant cap · solo facilitator · NO RECORDING (first delivery) · [CONFIRMED WORKSHOP DATE, TIME, TIME ZONE]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4320"/>
      </w:tblGrid>
      <w:tr>
        <w:tc>
          <w:tcPr>
            <w:tcW w:type="dxa" w:w="5400"/>
            <w:shd w:val="clear" w:fill="0F2347"/>
          </w:tcPr>
          <w:p>
            <w:r>
              <w:rPr>
                <w:b/>
                <w:color w:val="FFFFFF"/>
                <w:sz w:val="44"/>
              </w:rPr>
              <w:t>DO NOT FORGET</w:t>
            </w:r>
          </w:p>
        </w:tc>
        <w:tc>
          <w:tcPr>
            <w:tcW w:type="dxa" w:w="5400"/>
            <w:shd w:val="clear" w:fill="0F2347"/>
          </w:tcPr>
          <w:p>
            <w:pPr>
              <w:jc w:val="right"/>
            </w:pPr>
            <w:r>
              <w:rPr>
                <w:color w:val="FFFFFF"/>
                <w:sz w:val="19"/>
              </w:rPr>
              <w:t>Decide Whether to Stay or Leave Your Job</w:t>
              <w:br/>
            </w:r>
            <w:r>
              <w:rPr>
                <w:i/>
                <w:color w:val="FFFFFF"/>
                <w:sz w:val="16"/>
              </w:rPr>
              <w:t>Live Delivery Control Card v1.2 — page 2 of 2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B00000"/>
          <w:sz w:val="22"/>
        </w:rPr>
        <w:t>PRIORITY REMINDERS</w:t>
      </w:r>
    </w:p>
    <w:p>
      <w:pPr>
        <w:pStyle w:val="ListBullet"/>
        <w:spacing w:after="60"/>
      </w:pPr>
      <w:r>
        <w:rPr>
          <w:color w:val="B00000"/>
          <w:sz w:val="21"/>
        </w:rPr>
        <w:t>No recording for first solo delivery</w:t>
      </w:r>
    </w:p>
    <w:p>
      <w:pPr>
        <w:pStyle w:val="ListBullet"/>
        <w:spacing w:after="60"/>
      </w:pPr>
      <w:r>
        <w:rPr>
          <w:color w:val="B00000"/>
          <w:sz w:val="21"/>
        </w:rPr>
        <w:t>No identifiable polling fallback — private chat/DM is never anonymous</w:t>
      </w:r>
    </w:p>
    <w:p>
      <w:pPr>
        <w:pStyle w:val="ListBullet"/>
        <w:spacing w:after="60"/>
      </w:pPr>
      <w:r>
        <w:rPr>
          <w:color w:val="B00000"/>
          <w:sz w:val="21"/>
        </w:rPr>
        <w:t>If anonymous poll fails, skip the metric — do not improvise a substitute</w:t>
      </w:r>
    </w:p>
    <w:p>
      <w:pPr>
        <w:pStyle w:val="ListBullet"/>
        <w:spacing w:after="60"/>
      </w:pPr>
      <w:r>
        <w:rPr>
          <w:color w:val="B00000"/>
          <w:sz w:val="21"/>
        </w:rPr>
        <w:t>Corrected room count (Poll B) drives state-cost depth, not the first-placement count</w:t>
      </w:r>
    </w:p>
    <w:p>
      <w:pPr>
        <w:pStyle w:val="ListBullet"/>
        <w:spacing w:after="60"/>
      </w:pPr>
      <w:r>
        <w:rPr>
          <w:color w:val="B00000"/>
          <w:sz w:val="21"/>
        </w:rPr>
        <w:t>Part B releases only after: A1 full response + all Ready, then A2 full response</w:t>
      </w:r>
    </w:p>
    <w:p>
      <w:pPr>
        <w:pStyle w:val="ListBullet"/>
        <w:spacing w:after="60"/>
      </w:pPr>
      <w:r>
        <w:rPr>
          <w:color w:val="B00000"/>
          <w:sz w:val="21"/>
        </w:rPr>
        <w:t>Never display or read aloud a count of 1 — small cells stay internal</w:t>
      </w:r>
    </w:p>
    <w:p>
      <w:pPr>
        <w:pStyle w:val="ListBullet"/>
        <w:spacing w:after="60"/>
      </w:pPr>
      <w:r>
        <w:rPr>
          <w:color w:val="B00000"/>
          <w:sz w:val="21"/>
        </w:rPr>
        <w:t>New entrant: no admission after minute 8. Reconnection: may readmit at next pause</w:t>
      </w:r>
    </w:p>
    <w:p>
      <w:pPr>
        <w:pStyle w:val="ListBullet"/>
        <w:spacing w:after="60"/>
      </w:pPr>
      <w:r>
        <w:rPr>
          <w:color w:val="B00000"/>
          <w:sz w:val="21"/>
        </w:rPr>
        <w:t>Scores and workbooks stay private</w:t>
      </w:r>
    </w:p>
    <w:p>
      <w:pPr>
        <w:spacing w:after="80"/>
      </w:pPr>
      <w:r>
        <w:rPr>
          <w:b/>
          <w:i w:val="0"/>
          <w:color w:val="0F2347"/>
          <w:sz w:val="21"/>
        </w:rPr>
        <w:t>STANDING REMINDERS</w:t>
      </w:r>
    </w:p>
    <w:p>
      <w:pPr>
        <w:pStyle w:val="ListBullet"/>
        <w:spacing w:after="60"/>
      </w:pPr>
      <w:r>
        <w:rPr>
          <w:sz w:val="21"/>
        </w:rPr>
        <w:t>No state prescription</w:t>
      </w:r>
    </w:p>
    <w:p>
      <w:pPr>
        <w:pStyle w:val="ListBullet"/>
        <w:spacing w:after="60"/>
      </w:pPr>
      <w:r>
        <w:rPr>
          <w:sz w:val="21"/>
        </w:rPr>
        <w:t>No “good” or “bad” score</w:t>
      </w:r>
    </w:p>
    <w:p>
      <w:pPr>
        <w:pStyle w:val="ListBullet"/>
        <w:spacing w:after="60"/>
      </w:pPr>
      <w:r>
        <w:rPr>
          <w:sz w:val="21"/>
        </w:rPr>
        <w:t>No employment decision</w:t>
      </w:r>
    </w:p>
    <w:p>
      <w:pPr>
        <w:pStyle w:val="ListBullet"/>
        <w:spacing w:after="60"/>
      </w:pPr>
      <w:r>
        <w:rPr>
          <w:sz w:val="21"/>
        </w:rPr>
        <w:t>One or two ? = provisional</w:t>
      </w:r>
    </w:p>
    <w:p>
      <w:pPr>
        <w:pStyle w:val="ListBullet"/>
        <w:spacing w:after="60"/>
      </w:pPr>
      <w:r>
        <w:rPr>
          <w:sz w:val="21"/>
        </w:rPr>
        <w:t>Three+ on axis = incomplete</w:t>
      </w:r>
    </w:p>
    <w:p>
      <w:pPr>
        <w:pStyle w:val="ListBullet"/>
        <w:spacing w:after="60"/>
      </w:pPr>
      <w:r>
        <w:rPr>
          <w:sz w:val="21"/>
        </w:rPr>
        <w:t>Low scores require evidence too</w:t>
      </w:r>
    </w:p>
    <w:p>
      <w:pPr>
        <w:pStyle w:val="ListBullet"/>
        <w:spacing w:after="60"/>
      </w:pPr>
      <w:r>
        <w:rPr>
          <w:sz w:val="21"/>
        </w:rPr>
        <w:t>Field Kit sent after session</w:t>
      </w:r>
    </w:p>
    <w:p>
      <w:pPr>
        <w:pStyle w:val="ListBullet"/>
        <w:spacing w:after="60"/>
      </w:pPr>
      <w:r>
        <w:rPr>
          <w:sz w:val="21"/>
        </w:rPr>
        <w:t>30-Day Evidence Review included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i w:val="0"/>
          <w:color w:val="0F2347"/>
          <w:sz w:val="24"/>
        </w:rPr>
        <w:t>Q&amp;A BOUNDARY</w:t>
      </w:r>
    </w:p>
    <w:p>
      <w:pPr>
        <w:spacing w:after="160"/>
      </w:pPr>
      <w:r>
        <w:rPr>
          <w:b w:val="0"/>
          <w:i/>
          <w:color w:val="000000"/>
          <w:sz w:val="26"/>
        </w:rPr>
        <w:t>“I can help you clarify what your evidence supports. I cannot make the employment decision for you.”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i w:val="0"/>
          <w:color w:val="0F2347"/>
          <w:sz w:val="24"/>
        </w:rPr>
        <w:t>TIME RECOVERY</w:t>
      </w:r>
    </w:p>
    <w:p>
      <w:pPr>
        <w:spacing w:after="120"/>
      </w:pPr>
      <w:r>
        <w:rPr>
          <w:b/>
          <w:i w:val="0"/>
          <w:color w:val="B00000"/>
          <w:sz w:val="21"/>
        </w:rPr>
        <w:t>Q&amp;A HARD-STARTS AT 105 — not a buffer. Recover time before 105; only a technical failure may cut Q&amp;A.</w:t>
      </w:r>
    </w:p>
    <w:p>
      <w:pPr>
        <w:spacing w:after="120"/>
      </w:pPr>
      <w:r>
        <w:rPr>
          <w:b/>
          <w:color w:val="B00000"/>
          <w:sz w:val="21"/>
        </w:rPr>
        <w:t xml:space="preserve">CUT FIRST:  </w:t>
      </w:r>
      <w:r>
        <w:rPr>
          <w:sz w:val="21"/>
        </w:rPr>
        <w:t>voluntary reads  →  extended state-cost discussion  →  extra calibration examples  →  appendix discussion</w:t>
      </w:r>
    </w:p>
    <w:p>
      <w:pPr>
        <w:spacing w:after="200"/>
      </w:pPr>
      <w:r>
        <w:rPr>
          <w:b/>
          <w:color w:val="1A7A1A"/>
          <w:sz w:val="21"/>
        </w:rPr>
        <w:t xml:space="preserve">NEVER CUT:  </w:t>
      </w:r>
      <w:r>
        <w:rPr>
          <w:sz w:val="21"/>
        </w:rPr>
        <w:t>initial read → evidence protocol → second read → sensitivity → corrected placement → eight-minute writing → close</w:t>
      </w:r>
    </w:p>
    <w:p>
      <w:pPr>
        <w:spacing w:after="120"/>
      </w:pPr>
      <w:r>
        <w:rPr>
          <w:b w:val="0"/>
          <w:i/>
          <w:color w:val="555555"/>
          <w:sz w:val="17"/>
        </w:rPr>
        <w:t>Not a facilitator script — see the Facilitator Guide and Solo Run Sheet for full teaching content.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