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Pr>
      <w:r>
        <w:rPr>
          <w:b/>
          <w:color w:val="0F2347"/>
          <w:sz w:val="36"/>
        </w:rPr>
        <w:t>Solo Facilitator Cognitive-Load Audit v1.2</w:t>
      </w:r>
    </w:p>
    <w:p>
      <w:pPr>
        <w:spacing w:after="80"/>
      </w:pPr>
      <w:r>
        <w:rPr>
          <w:b w:val="0"/>
          <w:i/>
          <w:color w:val="555555"/>
          <w:sz w:val="21"/>
        </w:rPr>
        <w:t>Decide Whether to Stay or Leave Your Job — The Capability Position Read</w:t>
      </w:r>
    </w:p>
    <w:p>
      <w:pPr>
        <w:spacing w:after="200"/>
      </w:pPr>
      <w:r>
        <w:rPr>
          <w:b/>
          <w:i w:val="0"/>
          <w:color w:val="B00000"/>
          <w:sz w:val="20"/>
        </w:rPr>
        <w:t>Reviews all 120 minutes for every point where Temidayo must perform more than one operational action while also teaching. Every AMBER/RED point carries a recommended simplification — never a recommendation to hire a producer or assign the problem to another person. "Raw risk" is the load as the session is structured; "Residual risk" is the load after the recommended fix (already built into the Facilitator Guide, Solo Run Sheet, Anonymous Poll Setup, and Control Card) is applied. Goal: zero unresolved RED items in the Residual Risk column.</w:t>
      </w:r>
    </w:p>
    <w:p>
      <w:pPr>
        <w:spacing w:after="200"/>
      </w:pPr>
      <w:r>
        <w:rPr>
          <w:b/>
          <w:i w:val="0"/>
          <w:color w:val="0F2347"/>
          <w:sz w:val="19"/>
        </w:rPr>
        <w:t>First solo delivery uses no recording. Poll Moment A is two screens — Screen A1 (readiness only) then Screen A2 (initial placement only) — released to Part B only after both response counts are verified. Corrected placement is finalized only after the sensitivity procedure is taught. Small cells (a count of one) are never displayed or read aloud, and never named as the reason for a teaching choice. Q&amp;A begins at minute 105 as a hard, non-negotiable start, not a time-recovery buffer. The minute-8 cutoff governs new entrants only; a participant who was already present may be readmitted after a disconnect. There is no private outreach to individual early finishers during the silent-writing block.</w:t>
      </w:r>
    </w:p>
    <w:p>
      <w:pPr>
        <w:spacing w:before="80" w:after="80"/>
      </w:pPr>
      <w:r>
        <w:rPr>
          <w:color w:val="555555"/>
          <w:sz w:val="16"/>
        </w:rPr>
        <w:t>―――――――――――――――――――――――――――――――――――――――――――――――――――――――――――――――――――――――――――――――――――――――――――――――</w:t>
      </w:r>
    </w:p>
    <w:p>
      <w:pPr>
        <w:keepNext/>
        <w:spacing w:before="320" w:after="80"/>
      </w:pPr>
      <w:r>
        <w:rPr>
          <w:b/>
          <w:color w:val="0F2347"/>
          <w:sz w:val="26"/>
        </w:rPr>
        <w:t>Classification key</w:t>
      </w:r>
    </w:p>
    <w:p>
      <w:pPr>
        <w:pStyle w:val="ListBullet"/>
        <w:spacing w:after="60"/>
      </w:pPr>
      <w:r>
        <w:rPr>
          <w:b/>
          <w:sz w:val="20"/>
        </w:rPr>
        <w:t xml:space="preserve">GREEN — </w:t>
      </w:r>
      <w:r>
        <w:rPr>
          <w:sz w:val="20"/>
        </w:rPr>
        <w:t>no concurrent operational load, or load fully absorbed by preloading already in place.</w:t>
      </w:r>
    </w:p>
    <w:p>
      <w:pPr>
        <w:pStyle w:val="ListBullet"/>
        <w:spacing w:after="60"/>
      </w:pPr>
      <w:r>
        <w:rPr>
          <w:b/>
          <w:sz w:val="20"/>
        </w:rPr>
        <w:t xml:space="preserve">AMBER — </w:t>
      </w:r>
      <w:r>
        <w:rPr>
          <w:sz w:val="20"/>
        </w:rPr>
        <w:t>genuine concurrent load, but manageable with the specific preloading/sequencing described in the Simplification column.</w:t>
      </w:r>
    </w:p>
    <w:p>
      <w:pPr>
        <w:pStyle w:val="ListBullet"/>
        <w:spacing w:after="60"/>
      </w:pPr>
      <w:r>
        <w:rPr>
          <w:b/>
          <w:sz w:val="20"/>
        </w:rPr>
        <w:t xml:space="preserve">RED (raw) — </w:t>
      </w:r>
      <w:r>
        <w:rPr>
          <w:sz w:val="20"/>
        </w:rPr>
        <w:t>too much for one facilitator as originally structured, before mitigation.</w:t>
      </w:r>
    </w:p>
    <w:p>
      <w:pPr>
        <w:spacing w:after="160"/>
      </w:pPr>
      <w:r>
        <w:rPr>
          <w:b w:val="0"/>
          <w:i/>
          <w:color w:val="555555"/>
          <w:sz w:val="19"/>
        </w:rPr>
        <w:t>A RED raw-risk rating is not a stop condition — it is a flag that the segment needed a redesign, and every one below received one, verified by its Residual Risk column.</w:t>
      </w:r>
    </w:p>
    <w:p>
      <w:pPr>
        <w:spacing w:before="80" w:after="80"/>
      </w:pPr>
      <w:r>
        <w:rPr>
          <w:color w:val="555555"/>
          <w:sz w:val="16"/>
        </w:rPr>
        <w:t>―――――――――――――――――――――――――――――――――――――――――――――――――――――――――――――――――――――――――――――――――――――――――――――――</w:t>
      </w:r>
    </w:p>
    <w:p>
      <w:pPr>
        <w:keepNext/>
        <w:spacing w:before="320" w:after="80"/>
      </w:pPr>
      <w:r>
        <w:rPr>
          <w:b/>
          <w:color w:val="0F2347"/>
          <w:sz w:val="26"/>
        </w:rPr>
        <w:t>Full-session audit</w:t>
      </w:r>
    </w:p>
    <w:tbl>
      <w:tblPr>
        <w:tblStyle w:val="LightGrid-Accent1"/>
        <w:tblW w:type="auto" w:w="0"/>
        <w:tblLook w:firstColumn="1" w:firstRow="1" w:lastColumn="0" w:lastRow="0" w:noHBand="0" w:noVBand="1" w:val="04A0"/>
      </w:tblPr>
      <w:tblGrid>
        <w:gridCol w:w="2102"/>
        <w:gridCol w:w="2102"/>
        <w:gridCol w:w="2102"/>
        <w:gridCol w:w="2102"/>
        <w:gridCol w:w="2102"/>
      </w:tblGrid>
      <w:tr>
        <w:tc>
          <w:tcPr>
            <w:tcW w:type="dxa" w:w="1008"/>
            <w:shd w:val="clear" w:fill="0F2347"/>
          </w:tcPr>
          <w:p>
            <w:r/>
            <w:r>
              <w:rPr>
                <w:b/>
                <w:color w:val="FFFFFF"/>
                <w:sz w:val="18"/>
              </w:rPr>
              <w:t>Time</w:t>
            </w:r>
          </w:p>
        </w:tc>
        <w:tc>
          <w:tcPr>
            <w:tcW w:type="dxa" w:w="2880"/>
            <w:shd w:val="clear" w:fill="0F2347"/>
          </w:tcPr>
          <w:p>
            <w:r/>
            <w:r>
              <w:rPr>
                <w:b/>
                <w:color w:val="FFFFFF"/>
                <w:sz w:val="18"/>
              </w:rPr>
              <w:t>Point of concurrent load</w:t>
            </w:r>
          </w:p>
        </w:tc>
        <w:tc>
          <w:tcPr>
            <w:tcW w:type="dxa" w:w="936"/>
            <w:shd w:val="clear" w:fill="0F2347"/>
          </w:tcPr>
          <w:p>
            <w:r/>
            <w:r>
              <w:rPr>
                <w:b/>
                <w:color w:val="FFFFFF"/>
                <w:sz w:val="18"/>
              </w:rPr>
              <w:t>Raw risk</w:t>
            </w:r>
          </w:p>
        </w:tc>
        <w:tc>
          <w:tcPr>
            <w:tcW w:type="dxa" w:w="1080"/>
            <w:shd w:val="clear" w:fill="0F2347"/>
          </w:tcPr>
          <w:p>
            <w:r/>
            <w:r>
              <w:rPr>
                <w:b/>
                <w:color w:val="FFFFFF"/>
                <w:sz w:val="18"/>
              </w:rPr>
              <w:t>Residual risk</w:t>
            </w:r>
          </w:p>
        </w:tc>
        <w:tc>
          <w:tcPr>
            <w:tcW w:type="dxa" w:w="3816"/>
            <w:shd w:val="clear" w:fill="0F2347"/>
          </w:tcPr>
          <w:p>
            <w:r/>
            <w:r>
              <w:rPr>
                <w:b/>
                <w:color w:val="FFFFFF"/>
                <w:sz w:val="18"/>
              </w:rPr>
              <w:t>Simplification applied</w:t>
            </w:r>
          </w:p>
        </w:tc>
      </w:tr>
      <w:tr>
        <w:tc>
          <w:tcPr>
            <w:tcW w:type="dxa" w:w="1008"/>
          </w:tcPr>
          <w:p>
            <w:r/>
            <w:r>
              <w:rPr>
                <w:sz w:val="17"/>
              </w:rPr>
              <w:t>Pre-session</w:t>
            </w:r>
          </w:p>
        </w:tc>
        <w:tc>
          <w:tcPr>
            <w:tcW w:type="dxa" w:w="2880"/>
          </w:tcPr>
          <w:p>
            <w:r/>
            <w:r>
              <w:rPr>
                <w:sz w:val="17"/>
              </w:rPr>
              <w:t>Instrument version check across deck/workbook/Field Kit before opening the room</w:t>
            </w:r>
          </w:p>
        </w:tc>
        <w:tc>
          <w:tcPr>
            <w:tcW w:type="dxa" w:w="936"/>
            <w:shd w:val="clear" w:fill="D9EAD3"/>
          </w:tcPr>
          <w:p>
            <w:r>
              <w:rPr>
                <w:b/>
                <w:color w:val="1A7A1A"/>
                <w:sz w:val="17"/>
              </w:rPr>
              <w:t>GREEN</w:t>
            </w:r>
          </w:p>
        </w:tc>
        <w:tc>
          <w:tcPr>
            <w:tcW w:type="dxa" w:w="1080"/>
            <w:shd w:val="clear" w:fill="D9EAD3"/>
          </w:tcPr>
          <w:p>
            <w:r>
              <w:rPr>
                <w:b/>
                <w:color w:val="1A7A1A"/>
                <w:sz w:val="17"/>
              </w:rPr>
              <w:t>GREEN</w:t>
            </w:r>
          </w:p>
        </w:tc>
        <w:tc>
          <w:tcPr>
            <w:tcW w:type="dxa" w:w="3816"/>
          </w:tcPr>
          <w:p>
            <w:r/>
            <w:r>
              <w:rPr>
                <w:sz w:val="16"/>
              </w:rPr>
              <w:t>Done before anyone can see the screen — no concurrent teaching to protect.</w:t>
            </w:r>
          </w:p>
        </w:tc>
      </w:tr>
      <w:tr>
        <w:tc>
          <w:tcPr>
            <w:tcW w:type="dxa" w:w="1008"/>
          </w:tcPr>
          <w:p>
            <w:r/>
            <w:r>
              <w:rPr>
                <w:sz w:val="17"/>
              </w:rPr>
              <w:t>0:00–0:45</w:t>
            </w:r>
          </w:p>
        </w:tc>
        <w:tc>
          <w:tcPr>
            <w:tcW w:type="dxa" w:w="2880"/>
          </w:tcPr>
          <w:p>
            <w:r/>
            <w:r>
              <w:rPr>
                <w:sz w:val="17"/>
              </w:rPr>
              <w:t>Admitting arriving participants while welcoming the room, up to the minute-8 new-entrant cutoff</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Doors open early; participants are strongly expected before the scheduled start. Before minute 8, new entrants may still be admitted at a controlled pause — this is a fixed, pre-authorized window, not an open-ended monitoring duty. No blanket "disable the waiting room" instruction is used — see the minute-8 cutoff row below for the boundary itself, including the reconnection exception.</w:t>
            </w:r>
          </w:p>
        </w:tc>
      </w:tr>
      <w:tr>
        <w:tc>
          <w:tcPr>
            <w:tcW w:type="dxa" w:w="1008"/>
          </w:tcPr>
          <w:p>
            <w:r/>
            <w:r>
              <w:rPr>
                <w:sz w:val="17"/>
              </w:rPr>
              <w:t>0:00</w:t>
            </w:r>
          </w:p>
        </w:tc>
        <w:tc>
          <w:tcPr>
            <w:tcW w:type="dxa" w:w="2880"/>
          </w:tcPr>
          <w:p>
            <w:r/>
            <w:r>
              <w:rPr>
                <w:sz w:val="17"/>
              </w:rPr>
              <w:t>Stating the no-recording privacy line</w:t>
            </w:r>
          </w:p>
        </w:tc>
        <w:tc>
          <w:tcPr>
            <w:tcW w:type="dxa" w:w="936"/>
            <w:shd w:val="clear" w:fill="D9EAD3"/>
          </w:tcPr>
          <w:p>
            <w:r>
              <w:rPr>
                <w:b/>
                <w:color w:val="1A7A1A"/>
                <w:sz w:val="17"/>
              </w:rPr>
              <w:t>GREEN</w:t>
            </w:r>
          </w:p>
        </w:tc>
        <w:tc>
          <w:tcPr>
            <w:tcW w:type="dxa" w:w="1080"/>
            <w:shd w:val="clear" w:fill="D9EAD3"/>
          </w:tcPr>
          <w:p>
            <w:r>
              <w:rPr>
                <w:b/>
                <w:color w:val="1A7A1A"/>
                <w:sz w:val="17"/>
              </w:rPr>
              <w:t>GREEN</w:t>
            </w:r>
          </w:p>
        </w:tc>
        <w:tc>
          <w:tcPr>
            <w:tcW w:type="dxa" w:w="3816"/>
          </w:tcPr>
          <w:p>
            <w:r/>
            <w:r>
              <w:rPr>
                <w:sz w:val="16"/>
              </w:rPr>
              <w:t>No toggle of any kind — first solo delivery uses no recording, so this is speech only, with nothing to operate simultaneously.</w:t>
            </w:r>
          </w:p>
        </w:tc>
      </w:tr>
      <w:tr>
        <w:tc>
          <w:tcPr>
            <w:tcW w:type="dxa" w:w="1008"/>
          </w:tcPr>
          <w:p>
            <w:r/>
            <w:r>
              <w:rPr>
                <w:sz w:val="17"/>
              </w:rPr>
              <w:t>0:45–2:15</w:t>
            </w:r>
          </w:p>
        </w:tc>
        <w:tc>
          <w:tcPr>
            <w:tcW w:type="dxa" w:w="2880"/>
          </w:tcPr>
          <w:p>
            <w:r/>
            <w:r>
              <w:rPr>
                <w:sz w:val="17"/>
              </w:rPr>
              <w:t>Delivering the 75–90 sec opening story from memory while tracking time</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Fully rehearsed to a fixed length — removes the live time-tracking need; the story ends itself at the verbatim close line.</w:t>
            </w:r>
          </w:p>
        </w:tc>
      </w:tr>
      <w:tr>
        <w:tc>
          <w:tcPr>
            <w:tcW w:type="dxa" w:w="1008"/>
          </w:tcPr>
          <w:p>
            <w:r/>
            <w:r>
              <w:rPr>
                <w:sz w:val="17"/>
              </w:rPr>
              <w:t>8:00</w:t>
            </w:r>
          </w:p>
        </w:tc>
        <w:tc>
          <w:tcPr>
            <w:tcW w:type="dxa" w:w="2880"/>
          </w:tcPr>
          <w:p>
            <w:r/>
            <w:r>
              <w:rPr>
                <w:sz w:val="17"/>
              </w:rPr>
              <w:t>NEW-ENTRANT CUTOFF — deciding admission at the fixed minute-8 boundary, distinct from a verified reconnection</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A fixed rule stated in advance ("no NEW entrant is admitted at minute 8"), preferring waiting-room control over a hard meeting lock so a VERIFIED RECONNECTION — a participant already present who was temporarily disconnected — can still be readmitted at the next natural pause. This is a one-time judgment at minute 8, not a continuous admission-monitoring duty for the rest of the session; a later reconnection readmit is a brief, low-stakes glance at the waiting room during an already-planned pause.</w:t>
            </w:r>
          </w:p>
        </w:tc>
      </w:tr>
      <w:tr>
        <w:tc>
          <w:tcPr>
            <w:tcW w:type="dxa" w:w="1008"/>
          </w:tcPr>
          <w:p>
            <w:r/>
            <w:r>
              <w:rPr>
                <w:sz w:val="17"/>
              </w:rPr>
              <w:t>8–14</w:t>
            </w:r>
          </w:p>
        </w:tc>
        <w:tc>
          <w:tcPr>
            <w:tcW w:type="dxa" w:w="2880"/>
          </w:tcPr>
          <w:p>
            <w:r/>
            <w:r>
              <w:rPr>
                <w:sz w:val="17"/>
              </w:rPr>
              <w:t>Fielding an unplanned AI-tools question while holding the 60–90 sec application to two sentences</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A single preloaded redirect line ("good appendix/Q&amp;A question") is memorized in advance — turns an improvised judgment call into a scripted reflex.</w:t>
            </w:r>
          </w:p>
        </w:tc>
      </w:tr>
      <w:tr>
        <w:tc>
          <w:tcPr>
            <w:tcW w:type="dxa" w:w="1008"/>
          </w:tcPr>
          <w:p>
            <w:r/>
            <w:r>
              <w:rPr>
                <w:sz w:val="17"/>
              </w:rPr>
              <w:t>14–24</w:t>
            </w:r>
          </w:p>
        </w:tc>
        <w:tc>
          <w:tcPr>
            <w:tcW w:type="dxa" w:w="2880"/>
          </w:tcPr>
          <w:p>
            <w:r/>
            <w:r>
              <w:rPr>
                <w:sz w:val="17"/>
              </w:rPr>
              <w:t>Responding to a participant's broken auto-calculation while others are mid-scoring, without breaking the room's silence</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A single preloaded chat reply ("add the six by hand and keep going") is pasted, not composed — no live troubleshooting.</w:t>
            </w:r>
          </w:p>
        </w:tc>
      </w:tr>
      <w:tr>
        <w:tc>
          <w:tcPr>
            <w:tcW w:type="dxa" w:w="1008"/>
          </w:tcPr>
          <w:p>
            <w:r/>
            <w:r>
              <w:rPr>
                <w:sz w:val="17"/>
              </w:rPr>
              <w:t>24–31</w:t>
            </w:r>
          </w:p>
        </w:tc>
        <w:tc>
          <w:tcPr>
            <w:tcW w:type="dxa" w:w="2880"/>
          </w:tcPr>
          <w:p>
            <w:r/>
            <w:r>
              <w:rPr>
                <w:sz w:val="17"/>
              </w:rPr>
              <w:t>Triggering SCREEN A1 (readiness only), verifying every active participant responded Ready, THEN triggering SCREEN A2 (placement only) as a second screen</w:t>
            </w:r>
          </w:p>
        </w:tc>
        <w:tc>
          <w:tcPr>
            <w:tcW w:type="dxa" w:w="936"/>
            <w:shd w:val="clear" w:fill="FBEFD2"/>
          </w:tcPr>
          <w:p>
            <w:r>
              <w:rPr>
                <w:b/>
                <w:color w:val="B8860B"/>
                <w:sz w:val="17"/>
              </w:rPr>
              <w:t>AMBER</w:t>
            </w:r>
          </w:p>
        </w:tc>
        <w:tc>
          <w:tcPr>
            <w:tcW w:type="dxa" w:w="1080"/>
            <w:shd w:val="clear" w:fill="FBEFD2"/>
          </w:tcPr>
          <w:p>
            <w:r>
              <w:rPr>
                <w:b/>
                <w:color w:val="B8860B"/>
                <w:sz w:val="17"/>
              </w:rPr>
              <w:t>AMBER</w:t>
            </w:r>
          </w:p>
        </w:tc>
        <w:tc>
          <w:tcPr>
            <w:tcW w:type="dxa" w:w="3816"/>
          </w:tcPr>
          <w:p>
            <w:r/>
            <w:r>
              <w:rPr>
                <w:sz w:val="16"/>
              </w:rPr>
              <w:t>Both screens are pinned to the same already-open poll tab (one click each); A1's response count is read directly off the tool, never eye-scanned from the room, and A2 is opened only once that count check clears — a fixed two-step sequence, not a judgment call, fully described in the Facilitator Guide and Run Sheet.</w:t>
            </w:r>
          </w:p>
        </w:tc>
      </w:tr>
      <w:tr>
        <w:tc>
          <w:tcPr>
            <w:tcW w:type="dxa" w:w="1008"/>
          </w:tcPr>
          <w:p>
            <w:r/>
            <w:r>
              <w:rPr>
                <w:sz w:val="17"/>
              </w:rPr>
              <w:t>31–33</w:t>
            </w:r>
          </w:p>
        </w:tc>
        <w:tc>
          <w:tcPr>
            <w:tcW w:type="dxa" w:w="2880"/>
          </w:tcPr>
          <w:p>
            <w:r/>
            <w:r>
              <w:rPr>
                <w:sz w:val="17"/>
              </w:rPr>
              <w:t>PART B RELEASE — verifying (1) A1 response count equals active participants, (2) every A1 response says Ready, (3) A2 response count equals active participants, then distributing a link, without typing it live</w:t>
            </w:r>
          </w:p>
        </w:tc>
        <w:tc>
          <w:tcPr>
            <w:tcW w:type="dxa" w:w="936"/>
            <w:shd w:val="clear" w:fill="F4CCCC"/>
          </w:tcPr>
          <w:p>
            <w:r>
              <w:rPr>
                <w:b/>
                <w:color w:val="B00000"/>
                <w:sz w:val="17"/>
              </w:rPr>
              <w:t>RED</w:t>
            </w:r>
          </w:p>
        </w:tc>
        <w:tc>
          <w:tcPr>
            <w:tcW w:type="dxa" w:w="1080"/>
            <w:shd w:val="clear" w:fill="FBEFD2"/>
          </w:tcPr>
          <w:p>
            <w:r>
              <w:rPr>
                <w:b/>
                <w:color w:val="B8860B"/>
                <w:sz w:val="17"/>
              </w:rPr>
              <w:t>AMBER</w:t>
            </w:r>
          </w:p>
        </w:tc>
        <w:tc>
          <w:tcPr>
            <w:tcW w:type="dxa" w:w="3816"/>
          </w:tcPr>
          <w:p>
            <w:r/>
            <w:r>
              <w:rPr>
                <w:sz w:val="16"/>
              </w:rPr>
              <w:t>All three counts are read directly off the already-open poll results, in the fixed order above — no separate eye-scan or workbook inspection task exists to perform, and the clock reaching minute 31 is never by itself a release trigger. Link pre-copied into a labeled scratchpad before the room opens; release message fully pre-written and simply pasted (see Part B Release — Solo Procedure). The two-minute allowance itself is built as recovery time, not instant. This is the single highest-risk moment in the session and is treated as such throughout the Facilitator Guide.</w:t>
            </w:r>
          </w:p>
        </w:tc>
      </w:tr>
      <w:tr>
        <w:tc>
          <w:tcPr>
            <w:tcW w:type="dxa" w:w="1008"/>
          </w:tcPr>
          <w:p>
            <w:r/>
            <w:r>
              <w:rPr>
                <w:sz w:val="17"/>
              </w:rPr>
              <w:t>33–48</w:t>
            </w:r>
          </w:p>
        </w:tc>
        <w:tc>
          <w:tcPr>
            <w:tcW w:type="dxa" w:w="2880"/>
          </w:tcPr>
          <w:p>
            <w:r/>
            <w:r>
              <w:rPr>
                <w:sz w:val="17"/>
              </w:rPr>
              <w:t>Tracking elapsed time across seven consecutive teaching slides (protocol + three misreadings + application + accumulated argument) while delivering nuanced worked examples</w:t>
            </w:r>
          </w:p>
        </w:tc>
        <w:tc>
          <w:tcPr>
            <w:tcW w:type="dxa" w:w="936"/>
            <w:shd w:val="clear" w:fill="FBEFD2"/>
          </w:tcPr>
          <w:p>
            <w:r>
              <w:rPr>
                <w:b/>
                <w:color w:val="B8860B"/>
                <w:sz w:val="17"/>
              </w:rPr>
              <w:t>AMBER</w:t>
            </w:r>
          </w:p>
        </w:tc>
        <w:tc>
          <w:tcPr>
            <w:tcW w:type="dxa" w:w="1080"/>
            <w:shd w:val="clear" w:fill="FBEFD2"/>
          </w:tcPr>
          <w:p>
            <w:r>
              <w:rPr>
                <w:b/>
                <w:color w:val="B8860B"/>
                <w:sz w:val="17"/>
              </w:rPr>
              <w:t>AMBER</w:t>
            </w:r>
          </w:p>
        </w:tc>
        <w:tc>
          <w:tcPr>
            <w:tcW w:type="dxa" w:w="3816"/>
          </w:tcPr>
          <w:p>
            <w:r/>
            <w:r>
              <w:rPr>
                <w:sz w:val="16"/>
              </w:rPr>
              <w:t>Live Delivery Control Card kept visible for a glanceable clock; the segment's own internal markers ("Misreading One", "Misreading Two"...) act as natural time checkpoints without requiring a separate stopwatch discipline.</w:t>
            </w:r>
          </w:p>
        </w:tc>
      </w:tr>
      <w:tr>
        <w:tc>
          <w:tcPr>
            <w:tcW w:type="dxa" w:w="1008"/>
          </w:tcPr>
          <w:p>
            <w:r/>
            <w:r>
              <w:rPr>
                <w:sz w:val="17"/>
              </w:rPr>
              <w:t>48–64</w:t>
            </w:r>
          </w:p>
        </w:tc>
        <w:tc>
          <w:tcPr>
            <w:tcW w:type="dxa" w:w="2880"/>
          </w:tcPr>
          <w:p>
            <w:r/>
            <w:r>
              <w:rPr>
                <w:sz w:val="17"/>
              </w:rPr>
              <w:t>Sixteen minutes of quiet monitoring during Pass Two while participants write with evidence</w:t>
            </w:r>
          </w:p>
        </w:tc>
        <w:tc>
          <w:tcPr>
            <w:tcW w:type="dxa" w:w="936"/>
            <w:shd w:val="clear" w:fill="D9EAD3"/>
          </w:tcPr>
          <w:p>
            <w:r>
              <w:rPr>
                <w:b/>
                <w:color w:val="1A7A1A"/>
                <w:sz w:val="17"/>
              </w:rPr>
              <w:t>GREEN</w:t>
            </w:r>
          </w:p>
        </w:tc>
        <w:tc>
          <w:tcPr>
            <w:tcW w:type="dxa" w:w="1080"/>
            <w:shd w:val="clear" w:fill="D9EAD3"/>
          </w:tcPr>
          <w:p>
            <w:r>
              <w:rPr>
                <w:b/>
                <w:color w:val="1A7A1A"/>
                <w:sz w:val="17"/>
              </w:rPr>
              <w:t>GREEN</w:t>
            </w:r>
          </w:p>
        </w:tc>
        <w:tc>
          <w:tcPr>
            <w:tcW w:type="dxa" w:w="3816"/>
          </w:tcPr>
          <w:p>
            <w:r/>
            <w:r>
              <w:rPr>
                <w:sz w:val="16"/>
              </w:rPr>
              <w:t>This is the lowest cognitive-load window in the entire session — explicitly used in the Facilitator Guide as a moment to recover the facilitator's own pacing, not to multitask.</w:t>
            </w:r>
          </w:p>
        </w:tc>
      </w:tr>
      <w:tr>
        <w:tc>
          <w:tcPr>
            <w:tcW w:type="dxa" w:w="1008"/>
          </w:tcPr>
          <w:p>
            <w:r/>
            <w:r>
              <w:rPr>
                <w:sz w:val="17"/>
              </w:rPr>
              <w:t>64–71 (slide 30)</w:t>
            </w:r>
          </w:p>
        </w:tc>
        <w:tc>
          <w:tcPr>
            <w:tcW w:type="dxa" w:w="2880"/>
          </w:tcPr>
          <w:p>
            <w:r/>
            <w:r>
              <w:rPr>
                <w:sz w:val="17"/>
              </w:rPr>
              <w:t>Re-totaling instruction while deliberately holding final placement and withholding any poll trigger until the sensitivity procedure is taught</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The correct action is to do nothing with the poll tool here and finalize nothing yet — a null action is lower load than a triggered one. The Facilitator Guide and Run Sheet both carry the exact verbatim line ("Hold your final placement for one more step") and an explicit "NO POLL YET" instruction, removing any ambiguity about sequencing under pressure, for every participant including those with no question-marked items.</w:t>
            </w:r>
          </w:p>
        </w:tc>
      </w:tr>
      <w:tr>
        <w:tc>
          <w:tcPr>
            <w:tcW w:type="dxa" w:w="1008"/>
          </w:tcPr>
          <w:p>
            <w:r/>
            <w:r>
              <w:rPr>
                <w:sz w:val="17"/>
              </w:rPr>
              <w:t>64–71 (slide 31)</w:t>
            </w:r>
          </w:p>
        </w:tc>
        <w:tc>
          <w:tcPr>
            <w:tcW w:type="dxa" w:w="2880"/>
          </w:tcPr>
          <w:p>
            <w:r/>
            <w:r>
              <w:rPr>
                <w:sz w:val="17"/>
              </w:rPr>
              <w:t>Teaching the sensitivity procedure, THEN finalizing corrected placement, THEN triggering the single combined Poll B (5 questions) only once both are complete</w:t>
            </w:r>
          </w:p>
        </w:tc>
        <w:tc>
          <w:tcPr>
            <w:tcW w:type="dxa" w:w="936"/>
            <w:shd w:val="clear" w:fill="F4CCCC"/>
          </w:tcPr>
          <w:p>
            <w:r>
              <w:rPr>
                <w:b/>
                <w:color w:val="B00000"/>
                <w:sz w:val="17"/>
              </w:rPr>
              <w:t>RED</w:t>
            </w:r>
          </w:p>
        </w:tc>
        <w:tc>
          <w:tcPr>
            <w:tcW w:type="dxa" w:w="1080"/>
            <w:shd w:val="clear" w:fill="FBEFD2"/>
          </w:tcPr>
          <w:p>
            <w:r>
              <w:rPr>
                <w:b/>
                <w:color w:val="B8860B"/>
                <w:sz w:val="17"/>
              </w:rPr>
              <w:t>AMBER</w:t>
            </w:r>
          </w:p>
        </w:tc>
        <w:tc>
          <w:tcPr>
            <w:tcW w:type="dxa" w:w="3816"/>
          </w:tcPr>
          <w:p>
            <w:r/>
            <w:r>
              <w:rPr>
                <w:sz w:val="16"/>
              </w:rPr>
              <w:t>Poll B is built as ONE multi-question poll screen (not several separate polls) and is opened only after the procedure is taught AND placement is finalized — see Anonymous Poll Setup v1.2; the 40-second worked example is scripted and rehearsed, not improvised, per the Facilitator Guide. This ordering is a hard sequencing rule, not a judgment call: procedure, then finalize, then poll, always, for the whole room at once.</w:t>
            </w:r>
          </w:p>
        </w:tc>
      </w:tr>
      <w:tr>
        <w:tc>
          <w:tcPr>
            <w:tcW w:type="dxa" w:w="1008"/>
          </w:tcPr>
          <w:p>
            <w:r/>
            <w:r>
              <w:rPr>
                <w:sz w:val="17"/>
              </w:rPr>
              <w:t>71–77</w:t>
            </w:r>
          </w:p>
        </w:tc>
        <w:tc>
          <w:tcPr>
            <w:tcW w:type="dxa" w:w="2880"/>
          </w:tcPr>
          <w:p>
            <w:r/>
            <w:r>
              <w:rPr>
                <w:sz w:val="17"/>
              </w:rPr>
              <w:t>Triggering POLL C (3 movement questions) and summarizing the room-level pattern aloud while suppressing any singleton (count-of-one) cell</w:t>
            </w:r>
          </w:p>
        </w:tc>
        <w:tc>
          <w:tcPr>
            <w:tcW w:type="dxa" w:w="936"/>
            <w:shd w:val="clear" w:fill="FBEFD2"/>
          </w:tcPr>
          <w:p>
            <w:r>
              <w:rPr>
                <w:b/>
                <w:color w:val="B8860B"/>
                <w:sz w:val="17"/>
              </w:rPr>
              <w:t>AMBER</w:t>
            </w:r>
          </w:p>
        </w:tc>
        <w:tc>
          <w:tcPr>
            <w:tcW w:type="dxa" w:w="1080"/>
            <w:shd w:val="clear" w:fill="FBEFD2"/>
          </w:tcPr>
          <w:p>
            <w:r>
              <w:rPr>
                <w:b/>
                <w:color w:val="B8860B"/>
                <w:sz w:val="17"/>
              </w:rPr>
              <w:t>AMBER</w:t>
            </w:r>
          </w:p>
        </w:tc>
        <w:tc>
          <w:tcPr>
            <w:tcW w:type="dxa" w:w="3816"/>
          </w:tcPr>
          <w:p>
            <w:r/>
            <w:r>
              <w:rPr>
                <w:sz w:val="16"/>
              </w:rPr>
              <w:t>The singleton-safe summary line is fully scripted in the Facilitator Guide precisely so it is never improvised under pressure — no count is read aloud, only a room-level pattern statement, or "varied movement" if all relevant cells are too small to summarize safely. Residual load is one poll click plus one scripted sentence, which is low-stakes.</w:t>
            </w:r>
          </w:p>
        </w:tc>
      </w:tr>
      <w:tr>
        <w:tc>
          <w:tcPr>
            <w:tcW w:type="dxa" w:w="1008"/>
          </w:tcPr>
          <w:p>
            <w:r/>
            <w:r>
              <w:rPr>
                <w:sz w:val="17"/>
              </w:rPr>
              <w:t>77–84</w:t>
            </w:r>
          </w:p>
        </w:tc>
        <w:tc>
          <w:tcPr>
            <w:tcW w:type="dxa" w:w="2880"/>
          </w:tcPr>
          <w:p>
            <w:r/>
            <w:r>
              <w:rPr>
                <w:sz w:val="17"/>
              </w:rPr>
              <w:t>Deciding live, under time pressure, which state(s) to teach in depth using the 2+-participant small-cell threshold on the corrected-placement count</w:t>
            </w:r>
          </w:p>
        </w:tc>
        <w:tc>
          <w:tcPr>
            <w:tcW w:type="dxa" w:w="936"/>
            <w:shd w:val="clear" w:fill="F4CCCC"/>
          </w:tcPr>
          <w:p>
            <w:r>
              <w:rPr>
                <w:b/>
                <w:color w:val="B00000"/>
                <w:sz w:val="17"/>
              </w:rPr>
              <w:t>RED</w:t>
            </w:r>
          </w:p>
        </w:tc>
        <w:tc>
          <w:tcPr>
            <w:tcW w:type="dxa" w:w="1080"/>
            <w:shd w:val="clear" w:fill="FBEFD2"/>
          </w:tcPr>
          <w:p>
            <w:r>
              <w:rPr>
                <w:b/>
                <w:color w:val="B8860B"/>
                <w:sz w:val="17"/>
              </w:rPr>
              <w:t>AMBER</w:t>
            </w:r>
          </w:p>
        </w:tc>
        <w:tc>
          <w:tcPr>
            <w:tcW w:type="dxa" w:w="3816"/>
          </w:tcPr>
          <w:p>
            <w:r/>
            <w:r>
              <w:rPr>
                <w:sz w:val="16"/>
              </w:rPr>
              <w:t>The decision is made once, right after Poll B closes near minute 71 — well before minute 77 — and simply carried forward as a noted fact, not decided in the moment. The 2+ threshold is a fixed rule (deepen only a state with two or more participants; if none qualifies, teach all four evenly without disclosing why), removing live judgment about disclosure.</w:t>
            </w:r>
          </w:p>
        </w:tc>
      </w:tr>
      <w:tr>
        <w:tc>
          <w:tcPr>
            <w:tcW w:type="dxa" w:w="1008"/>
          </w:tcPr>
          <w:p>
            <w:r/>
            <w:r>
              <w:rPr>
                <w:sz w:val="17"/>
              </w:rPr>
              <w:t>77–84</w:t>
            </w:r>
          </w:p>
        </w:tc>
        <w:tc>
          <w:tcPr>
            <w:tcW w:type="dxa" w:w="2880"/>
          </w:tcPr>
          <w:p>
            <w:r/>
            <w:r>
              <w:rPr>
                <w:sz w:val="17"/>
              </w:rPr>
              <w:t>Monitoring elapsed time to trigger the named cut point (compress to 90 sec if 4+ min behind) on the personal-cost writing slide</w:t>
            </w:r>
          </w:p>
        </w:tc>
        <w:tc>
          <w:tcPr>
            <w:tcW w:type="dxa" w:w="936"/>
            <w:shd w:val="clear" w:fill="FBEFD2"/>
          </w:tcPr>
          <w:p>
            <w:r>
              <w:rPr>
                <w:b/>
                <w:color w:val="B8860B"/>
                <w:sz w:val="17"/>
              </w:rPr>
              <w:t>AMBER</w:t>
            </w:r>
          </w:p>
        </w:tc>
        <w:tc>
          <w:tcPr>
            <w:tcW w:type="dxa" w:w="1080"/>
            <w:shd w:val="clear" w:fill="FBEFD2"/>
          </w:tcPr>
          <w:p>
            <w:r>
              <w:rPr>
                <w:b/>
                <w:color w:val="B8860B"/>
                <w:sz w:val="17"/>
              </w:rPr>
              <w:t>AMBER</w:t>
            </w:r>
          </w:p>
        </w:tc>
        <w:tc>
          <w:tcPr>
            <w:tcW w:type="dxa" w:w="3816"/>
          </w:tcPr>
          <w:p>
            <w:r/>
            <w:r>
              <w:rPr>
                <w:sz w:val="16"/>
              </w:rPr>
              <w:t>Control Card and Run Sheet both flag this as a named, pre-authorized cut point — the judgment call is reduced to a single time check against a fixed threshold, not an open decision.</w:t>
            </w:r>
          </w:p>
        </w:tc>
      </w:tr>
      <w:tr>
        <w:tc>
          <w:tcPr>
            <w:tcW w:type="dxa" w:w="1008"/>
          </w:tcPr>
          <w:p>
            <w:r/>
            <w:r>
              <w:rPr>
                <w:sz w:val="17"/>
              </w:rPr>
              <w:t>84–88</w:t>
            </w:r>
          </w:p>
        </w:tc>
        <w:tc>
          <w:tcPr>
            <w:tcW w:type="dxa" w:w="2880"/>
          </w:tcPr>
          <w:p>
            <w:r/>
            <w:r>
              <w:rPr>
                <w:sz w:val="17"/>
              </w:rPr>
              <w:t>Fielding a "which category does my square mean?" question while holding the line-06 fixed wording</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The redirect ("which of these does your evidence support?") is scripted verbatim in the Facilitator Guide — a reflex, not a live composition.</w:t>
            </w:r>
          </w:p>
        </w:tc>
      </w:tr>
      <w:tr>
        <w:tc>
          <w:tcPr>
            <w:tcW w:type="dxa" w:w="1008"/>
          </w:tcPr>
          <w:p>
            <w:r/>
            <w:r>
              <w:rPr>
                <w:sz w:val="17"/>
              </w:rPr>
              <w:t>88:00</w:t>
            </w:r>
          </w:p>
        </w:tc>
        <w:tc>
          <w:tcPr>
            <w:tcW w:type="dxa" w:w="2880"/>
          </w:tcPr>
          <w:p>
            <w:r/>
            <w:r>
              <w:rPr>
                <w:sz w:val="17"/>
              </w:rPr>
              <w:t>Transitioning the room into silent-writing instructions, including the group-wide early-finisher instruction given before silence starts</w:t>
            </w:r>
          </w:p>
        </w:tc>
        <w:tc>
          <w:tcPr>
            <w:tcW w:type="dxa" w:w="936"/>
            <w:shd w:val="clear" w:fill="D9EAD3"/>
          </w:tcPr>
          <w:p>
            <w:r>
              <w:rPr>
                <w:b/>
                <w:color w:val="1A7A1A"/>
                <w:sz w:val="17"/>
              </w:rPr>
              <w:t>GREEN</w:t>
            </w:r>
          </w:p>
        </w:tc>
        <w:tc>
          <w:tcPr>
            <w:tcW w:type="dxa" w:w="1080"/>
            <w:shd w:val="clear" w:fill="D9EAD3"/>
          </w:tcPr>
          <w:p>
            <w:r>
              <w:rPr>
                <w:b/>
                <w:color w:val="1A7A1A"/>
                <w:sz w:val="17"/>
              </w:rPr>
              <w:t>GREEN</w:t>
            </w:r>
          </w:p>
        </w:tc>
        <w:tc>
          <w:tcPr>
            <w:tcW w:type="dxa" w:w="3816"/>
          </w:tcPr>
          <w:p>
            <w:r/>
            <w:r>
              <w:rPr>
                <w:sz w:val="16"/>
              </w:rPr>
              <w:t>No recording toggle exists for the first solo delivery — this row is pure teaching transition, with nothing operational to forget. The early-finisher instruction ("review all ten lines and strengthen line eight") is delivered once, to the whole room, before silence begins — there is no private message to compose for an individual finisher.</w:t>
            </w:r>
          </w:p>
        </w:tc>
      </w:tr>
      <w:tr>
        <w:tc>
          <w:tcPr>
            <w:tcW w:type="dxa" w:w="1008"/>
          </w:tcPr>
          <w:p>
            <w:r/>
            <w:r>
              <w:rPr>
                <w:sz w:val="17"/>
              </w:rPr>
              <w:t>88–96</w:t>
            </w:r>
          </w:p>
        </w:tc>
        <w:tc>
          <w:tcPr>
            <w:tcW w:type="dxa" w:w="2880"/>
          </w:tcPr>
          <w:p>
            <w:r/>
            <w:r>
              <w:rPr>
                <w:sz w:val="17"/>
              </w:rPr>
              <w:t>Remaining visibly available for quiet questions while tracking the 8-minute clock and not filling the silence, and not monitoring or messaging individual early finishers</w:t>
            </w:r>
          </w:p>
        </w:tc>
        <w:tc>
          <w:tcPr>
            <w:tcW w:type="dxa" w:w="936"/>
            <w:shd w:val="clear" w:fill="FBEFD2"/>
          </w:tcPr>
          <w:p>
            <w:r>
              <w:rPr>
                <w:b/>
                <w:color w:val="B8860B"/>
                <w:sz w:val="17"/>
              </w:rPr>
              <w:t>AMBER</w:t>
            </w:r>
          </w:p>
        </w:tc>
        <w:tc>
          <w:tcPr>
            <w:tcW w:type="dxa" w:w="1080"/>
            <w:shd w:val="clear" w:fill="FBEFD2"/>
          </w:tcPr>
          <w:p>
            <w:r>
              <w:rPr>
                <w:b/>
                <w:color w:val="B8860B"/>
                <w:sz w:val="17"/>
              </w:rPr>
              <w:t>AMBER</w:t>
            </w:r>
          </w:p>
        </w:tc>
        <w:tc>
          <w:tcPr>
            <w:tcW w:type="dxa" w:w="3816"/>
          </w:tcPr>
          <w:p>
            <w:r/>
            <w:r>
              <w:rPr>
                <w:sz w:val="16"/>
              </w:rPr>
              <w:t>A visible countdown timer (platform-native or a second small device) offloads the time-tracking half of this load. The fixed rule against private outreach during this block removes an entire category of live judgment calls — there is nothing to decide about any one participant's pace.</w:t>
            </w:r>
          </w:p>
        </w:tc>
      </w:tr>
      <w:tr>
        <w:tc>
          <w:tcPr>
            <w:tcW w:type="dxa" w:w="1008"/>
          </w:tcPr>
          <w:p>
            <w:r/>
            <w:r>
              <w:rPr>
                <w:sz w:val="17"/>
              </w:rPr>
              <w:t>94:00</w:t>
            </w:r>
          </w:p>
        </w:tc>
        <w:tc>
          <w:tcPr>
            <w:tcW w:type="dxa" w:w="2880"/>
          </w:tcPr>
          <w:p>
            <w:r/>
            <w:r>
              <w:rPr>
                <w:sz w:val="17"/>
              </w:rPr>
              <w:t>Delivering the exact two-minute-warning cue at the correct moment</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The cue is fixed, short, and identical every delivery — a scripted interruption to silence, not a composed one. The Control Card marks minute 94 explicitly so the trigger point itself is never in question.</w:t>
            </w:r>
          </w:p>
        </w:tc>
      </w:tr>
      <w:tr>
        <w:tc>
          <w:tcPr>
            <w:tcW w:type="dxa" w:w="1008"/>
          </w:tcPr>
          <w:p>
            <w:r/>
            <w:r>
              <w:rPr>
                <w:sz w:val="17"/>
              </w:rPr>
              <w:t>96–100</w:t>
            </w:r>
          </w:p>
        </w:tc>
        <w:tc>
          <w:tcPr>
            <w:tcW w:type="dxa" w:w="2880"/>
          </w:tcPr>
          <w:p>
            <w:r/>
            <w:r>
              <w:rPr>
                <w:sz w:val="17"/>
              </w:rPr>
              <w:t>Tallying readers, delivering the permission script per person, redirecting "requires" to "supports testing" in real time, and enforcing the two-reader cap</w:t>
            </w:r>
          </w:p>
        </w:tc>
        <w:tc>
          <w:tcPr>
            <w:tcW w:type="dxa" w:w="936"/>
            <w:shd w:val="clear" w:fill="F4CCCC"/>
          </w:tcPr>
          <w:p>
            <w:r>
              <w:rPr>
                <w:b/>
                <w:color w:val="B00000"/>
                <w:sz w:val="17"/>
              </w:rPr>
              <w:t>RED</w:t>
            </w:r>
          </w:p>
        </w:tc>
        <w:tc>
          <w:tcPr>
            <w:tcW w:type="dxa" w:w="1080"/>
            <w:shd w:val="clear" w:fill="FBEFD2"/>
          </w:tcPr>
          <w:p>
            <w:r>
              <w:rPr>
                <w:b/>
                <w:color w:val="B8860B"/>
                <w:sz w:val="17"/>
              </w:rPr>
              <w:t>AMBER</w:t>
            </w:r>
          </w:p>
        </w:tc>
        <w:tc>
          <w:tcPr>
            <w:tcW w:type="dxa" w:w="3816"/>
          </w:tcPr>
          <w:p>
            <w:r/>
            <w:r>
              <w:rPr>
                <w:sz w:val="16"/>
              </w:rPr>
              <w:t>The cap is stated as a fixed rule BEFORE opening the floor ("I'll take up to two"), removing live adjudication; the permission script is fully scripted and reused verbatim per person, never composed live.</w:t>
            </w:r>
          </w:p>
        </w:tc>
      </w:tr>
      <w:tr>
        <w:tc>
          <w:tcPr>
            <w:tcW w:type="dxa" w:w="1008"/>
          </w:tcPr>
          <w:p>
            <w:r/>
            <w:r>
              <w:rPr>
                <w:sz w:val="17"/>
              </w:rPr>
              <w:t>100–105</w:t>
            </w:r>
          </w:p>
        </w:tc>
        <w:tc>
          <w:tcPr>
            <w:tcW w:type="dxa" w:w="2880"/>
          </w:tcPr>
          <w:p>
            <w:r/>
            <w:r>
              <w:rPr>
                <w:sz w:val="17"/>
              </w:rPr>
              <w:t>Delivering the close while resisting the pull to improvise an offer the room's energy seems to invite</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Both close slides are fully scripted with explicit WHAT NOT TO SAY guardrails in the Facilitator Guide — the discipline is rehearsed, not decided live.</w:t>
            </w:r>
          </w:p>
        </w:tc>
      </w:tr>
      <w:tr>
        <w:tc>
          <w:tcPr>
            <w:tcW w:type="dxa" w:w="1008"/>
          </w:tcPr>
          <w:p>
            <w:r/>
            <w:r>
              <w:rPr>
                <w:sz w:val="17"/>
              </w:rPr>
              <w:t>105:00</w:t>
            </w:r>
          </w:p>
        </w:tc>
        <w:tc>
          <w:tcPr>
            <w:tcW w:type="dxa" w:w="2880"/>
          </w:tcPr>
          <w:p>
            <w:r/>
            <w:r>
              <w:rPr>
                <w:sz w:val="17"/>
              </w:rPr>
              <w:t>Starting Q&amp;A at its hard, non-negotiable start regardless of how the earlier 105 minutes ran</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Q&amp;A begins at minute 105 by fixed rule — it is never treated as a buffer to absorb overrun. Time is recovered earlier, using the named cut order (voluntary reads, extended state-cost discussion, extra calibration examples, appendix discussion). Only an unplanned technical failure may reduce Q&amp;A, and that is logged as a delivery defect rather than decided live — removing the live judgment call about whether Q&amp;A can be trimmed.</w:t>
            </w:r>
          </w:p>
        </w:tc>
      </w:tr>
      <w:tr>
        <w:tc>
          <w:tcPr>
            <w:tcW w:type="dxa" w:w="1008"/>
          </w:tcPr>
          <w:p>
            <w:r/>
            <w:r>
              <w:rPr>
                <w:sz w:val="17"/>
              </w:rPr>
              <w:t>Any point, 0–105</w:t>
            </w:r>
          </w:p>
        </w:tc>
        <w:tc>
          <w:tcPr>
            <w:tcW w:type="dxa" w:w="2880"/>
          </w:tcPr>
          <w:p>
            <w:r/>
            <w:r>
              <w:rPr>
                <w:sz w:val="17"/>
              </w:rPr>
              <w:t>Changing slides and triggering a poll in immediate succession</w:t>
            </w:r>
          </w:p>
        </w:tc>
        <w:tc>
          <w:tcPr>
            <w:tcW w:type="dxa" w:w="936"/>
            <w:shd w:val="clear" w:fill="FBEFD2"/>
          </w:tcPr>
          <w:p>
            <w:r>
              <w:rPr>
                <w:b/>
                <w:color w:val="B8860B"/>
                <w:sz w:val="17"/>
              </w:rPr>
              <w:t>AMBER</w:t>
            </w:r>
          </w:p>
        </w:tc>
        <w:tc>
          <w:tcPr>
            <w:tcW w:type="dxa" w:w="1080"/>
            <w:shd w:val="clear" w:fill="D9EAD3"/>
          </w:tcPr>
          <w:p>
            <w:r>
              <w:rPr>
                <w:b/>
                <w:color w:val="1A7A1A"/>
                <w:sz w:val="17"/>
              </w:rPr>
              <w:t>GREEN</w:t>
            </w:r>
          </w:p>
        </w:tc>
        <w:tc>
          <w:tcPr>
            <w:tcW w:type="dxa" w:w="3816"/>
          </w:tcPr>
          <w:p>
            <w:r/>
            <w:r>
              <w:rPr>
                <w:sz w:val="16"/>
              </w:rPr>
              <w:t>Sequenced, never simultaneous: advance the slide first (a visual cue for participants), then trigger the poll from its own separately pinned tab a beat later — never the same click.</w:t>
            </w:r>
          </w:p>
        </w:tc>
      </w:tr>
      <w:tr>
        <w:tc>
          <w:tcPr>
            <w:tcW w:type="dxa" w:w="1008"/>
          </w:tcPr>
          <w:p>
            <w:r/>
            <w:r>
              <w:rPr>
                <w:sz w:val="17"/>
              </w:rPr>
              <w:t>Any polling moment</w:t>
            </w:r>
          </w:p>
        </w:tc>
        <w:tc>
          <w:tcPr>
            <w:tcW w:type="dxa" w:w="2880"/>
          </w:tcPr>
          <w:p>
            <w:r/>
            <w:r>
              <w:rPr>
                <w:sz w:val="17"/>
              </w:rPr>
              <w:t>The primary anonymous poll tool fails to load or malfunctions live</w:t>
            </w:r>
          </w:p>
        </w:tc>
        <w:tc>
          <w:tcPr>
            <w:tcW w:type="dxa" w:w="936"/>
            <w:shd w:val="clear" w:fill="F4CCCC"/>
          </w:tcPr>
          <w:p>
            <w:r>
              <w:rPr>
                <w:b/>
                <w:color w:val="B00000"/>
                <w:sz w:val="17"/>
              </w:rPr>
              <w:t>RED</w:t>
            </w:r>
          </w:p>
        </w:tc>
        <w:tc>
          <w:tcPr>
            <w:tcW w:type="dxa" w:w="1080"/>
            <w:shd w:val="clear" w:fill="FBEFD2"/>
          </w:tcPr>
          <w:p>
            <w:r>
              <w:rPr>
                <w:b/>
                <w:color w:val="B8860B"/>
                <w:sz w:val="17"/>
              </w:rPr>
              <w:t>AMBER</w:t>
            </w:r>
          </w:p>
        </w:tc>
        <w:tc>
          <w:tcPr>
            <w:tcW w:type="dxa" w:w="3816"/>
          </w:tcPr>
          <w:p>
            <w:r/>
            <w:r>
              <w:rPr>
                <w:sz w:val="16"/>
              </w:rPr>
              <w:t>The decision to skip the metric entirely is pre-scripted and rehearsed, not invented under pressure: try the separately pre-tested backup anonymous poll once; if that also fails, skip the metric, mark it "unavailable" on the capture sheet after the session, and continue teaching without delay. An identifiable fallback (show of hands, chat, DM) is never an option under any circumstance — a privacy-violating fallback is not classified as "manageable" at any residual level.</w:t>
            </w:r>
          </w:p>
        </w:tc>
      </w:tr>
    </w:tbl>
    <w:p>
      <w:pPr>
        <w:spacing w:after="120"/>
      </w:pPr>
    </w:p>
    <w:p>
      <w:pPr>
        <w:spacing w:before="80" w:after="80"/>
      </w:pPr>
      <w:r>
        <w:rPr>
          <w:color w:val="555555"/>
          <w:sz w:val="16"/>
        </w:rPr>
        <w:t>―――――――――――――――――――――――――――――――――――――――――――――――――――――――――――――――――――――――――――――――――――――――――――――――</w:t>
      </w:r>
    </w:p>
    <w:p>
      <w:pPr>
        <w:keepNext/>
        <w:spacing w:before="320" w:after="80"/>
      </w:pPr>
      <w:r>
        <w:rPr>
          <w:b/>
          <w:color w:val="0F2347"/>
          <w:sz w:val="26"/>
        </w:rPr>
        <w:t>Summary</w:t>
      </w:r>
    </w:p>
    <w:p>
      <w:pPr>
        <w:spacing w:after="40"/>
      </w:pPr>
      <w:r>
        <w:rPr>
          <w:b w:val="0"/>
          <w:i w:val="0"/>
          <w:color w:val="000000"/>
          <w:sz w:val="21"/>
        </w:rPr>
        <w:t>Raw risk (before mitigation): 4 GREEN, 16 AMBER, 5 RED.</w:t>
      </w:r>
    </w:p>
    <w:p>
      <w:pPr>
        <w:spacing w:after="160"/>
      </w:pPr>
      <w:r>
        <w:rPr>
          <w:b/>
          <w:i w:val="0"/>
          <w:color w:val="1A7A1A"/>
          <w:sz w:val="22"/>
        </w:rPr>
        <w:t>Residual risk (after the simplifications already built into the Facilitator Guide, Solo Run Sheet, Anonymous Poll Setup, and Control Card): 15 GREEN, 10 AMBER, 0 RED.</w:t>
      </w:r>
    </w:p>
    <w:p>
      <w:pPr>
        <w:spacing w:after="160"/>
      </w:pPr>
      <w:r>
        <w:rPr>
          <w:b w:val="0"/>
          <w:i w:val="0"/>
          <w:color w:val="000000"/>
          <w:sz w:val="20"/>
        </w:rPr>
        <w:t>Zero unresolved RED items. Every point of genuine concurrent load has a specific, already-implemented simplification — preloading, scripting, sequencing, or a settings-level change — rather than a recommendation to add a second person. The remaining AMBER items are judged safely manageable by one prepared facilitator: each is low-stakes, brief, or backed by a visible reminder in the Run Sheet or Control Card.</w:t>
      </w:r>
    </w:p>
    <w:p>
      <w:pPr>
        <w:spacing w:before="80" w:after="80"/>
      </w:pPr>
      <w:r>
        <w:rPr>
          <w:color w:val="555555"/>
          <w:sz w:val="16"/>
        </w:rPr>
        <w:t>―――――――――――――――――――――――――――――――――――――――――――――――――――――――――――――――――――――――――――――――――――――――――――――――</w:t>
      </w:r>
    </w:p>
    <w:p>
      <w:pPr>
        <w:keepNext/>
        <w:spacing w:before="320" w:after="80"/>
      </w:pPr>
      <w:r>
        <w:rPr>
          <w:b/>
          <w:color w:val="0F2347"/>
          <w:sz w:val="26"/>
        </w:rPr>
        <w:t>The highest-stakes moments in the corrected session</w:t>
      </w:r>
    </w:p>
    <w:p>
      <w:pPr>
        <w:pStyle w:val="ListBullet"/>
        <w:spacing w:after="60"/>
      </w:pPr>
      <w:r>
        <w:rPr>
          <w:b/>
          <w:sz w:val="20"/>
        </w:rPr>
        <w:t xml:space="preserve">Part B release (minute 31). </w:t>
      </w:r>
      <w:r>
        <w:rPr>
          <w:sz w:val="20"/>
        </w:rPr>
        <w:t>solved entirely by preloading — a pre-copied link and a pre-written message that is pasted, never typed live, gated by three fixed checks read directly off the poll tool (A1 full response, A1 all Ready, A2 full response) rather than any visual inspection or the clock alone. See Part B Release — Solo Procedure in the Facilitator Guide.</w:t>
      </w:r>
    </w:p>
    <w:p>
      <w:pPr>
        <w:pStyle w:val="ListBullet"/>
        <w:spacing w:after="60"/>
      </w:pPr>
      <w:r>
        <w:rPr>
          <w:b/>
          <w:sz w:val="20"/>
        </w:rPr>
        <w:t xml:space="preserve">Sensitivity, then finalize placement, then Poll B (minute 64–71). </w:t>
      </w:r>
      <w:r>
        <w:rPr>
          <w:sz w:val="20"/>
        </w:rPr>
        <w:t>solved by a hard sequencing rule stated in three documents (Facilitator Guide, Solo Run Sheet, Anonymous Poll Setup): teach the procedure, finalize placement, THEN open the poll — never any other order, and identical for every participant. Slide 30 carries an explicit "NO POLL YET" instruction specifically to prevent this from becoming a live judgment call.</w:t>
      </w:r>
    </w:p>
    <w:p>
      <w:pPr>
        <w:pStyle w:val="ListBullet"/>
        <w:spacing w:after="60"/>
      </w:pPr>
      <w:r>
        <w:rPr>
          <w:b/>
          <w:sz w:val="20"/>
        </w:rPr>
        <w:t xml:space="preserve">Small-cell suppression at Poll C and state-cost teaching. </w:t>
      </w:r>
      <w:r>
        <w:rPr>
          <w:sz w:val="20"/>
        </w:rPr>
        <w:t>solved by a fixed, scripted sentence and a 2+-participant threshold decided once, well before minute 77 — never a live count read aloud or a live judgment about which state's size to disclose.</w:t>
      </w:r>
    </w:p>
    <w:p>
      <w:pPr>
        <w:pStyle w:val="ListBullet"/>
        <w:spacing w:after="60"/>
      </w:pPr>
      <w:r>
        <w:rPr>
          <w:b/>
          <w:sz w:val="20"/>
        </w:rPr>
        <w:t xml:space="preserve">A failed anonymous poll, at any moment. </w:t>
      </w:r>
      <w:r>
        <w:rPr>
          <w:sz w:val="20"/>
        </w:rPr>
        <w:t>solved by a pre-scripted decision tree (try backup, then skip and mark unavailable) so a live tool failure never tempts an identifiable substitute under time pressure.</w:t>
      </w:r>
    </w:p>
    <w:p>
      <w:pPr>
        <w:spacing w:after="160"/>
      </w:pPr>
      <w:r>
        <w:rPr>
          <w:b w:val="0"/>
          <w:i/>
          <w:color w:val="555555"/>
          <w:sz w:val="19"/>
        </w:rPr>
        <w:t>No recording exists for the first solo delivery — this removes an entire class of concurrent-load risk (a live recording toggle) at its source, rather than mitigating it after the fact.</w:t>
      </w:r>
    </w:p>
    <w:p>
      <w:pPr>
        <w:spacing w:before="80" w:after="80"/>
      </w:pPr>
      <w:r>
        <w:rPr>
          <w:color w:val="555555"/>
          <w:sz w:val="16"/>
        </w:rPr>
        <w:t>―――――――――――――――――――――――――――――――――――――――――――――――――――――――――――――――――――――――――――――――――――――――――――――――</w:t>
      </w:r>
    </w:p>
    <w:p>
      <w:pPr>
        <w:spacing w:after="0"/>
      </w:pPr>
      <w:r>
        <w:rPr>
          <w:b/>
          <w:i w:val="0"/>
          <w:color w:val="555555"/>
          <w:sz w:val="16"/>
        </w:rPr>
        <w:t>PAID WORKSHOP — SOLO FACILITATOR COGNITIVE-LOAD AUDIT v1.2</w:t>
      </w:r>
    </w:p>
    <w:sectPr w:rsidR="00FC693F" w:rsidRPr="0006063C"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