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v2.0.10 CANDIDATE  ·  Revised Saturday, September 19, 2026 at 8:30 AM CT</w:t>
            </w:r>
          </w:p>
        </w:tc>
      </w:tr>
    </w:tbl>
    <w:p>
      <w:pPr>
        <w:spacing w:after="80"/>
      </w:pPr>
    </w:p>
    <w:p>
      <w:pPr>
        <w:spacing w:after="160"/>
      </w:pPr>
      <w:r>
        <w:rPr>
          <w:b/>
          <w:i w:val="0"/>
          <w:color w:val="B00000"/>
          <w:sz w:val="21"/>
        </w:rPr>
        <w:t>PRODUCTION REVISION STAMP — Revised Saturday, September 19, 2026 at 11:20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IS NOW v2.0.7.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v2.0.10.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v2.0.7, workbook v2.0.1, SOP v2.0.10,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 the identity table, the offer table, the Maven configuration table, and sections 3 and 12 —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September 19 revision — what changed in v2.0.6 / v2.0.9</w:t>
      </w:r>
    </w:p>
    <w:p>
      <w:pPr>
        <w:spacing w:after="160"/>
      </w:pPr>
      <w:r>
        <w:rPr>
          <w:b w:val="0"/>
          <w:i w:val="0"/>
          <w:color w:val="000000"/>
          <w:sz w:val="19"/>
        </w:rPr>
        <w:t>A focused revision of an approved family, not a rebuild. The learning spine is untouched and so is the instrument. What changed is how the session opens, how two definitions are worded, how much slide 18 prints, where the portability frame lives, how three move categories read, how the session closes, and which offers exist.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The opening</w:t>
            </w:r>
          </w:p>
        </w:tc>
        <w:tc>
          <w:tcPr>
            <w:tcW w:type="dxa" w:w="6768"/>
          </w:tcPr>
          <w:p>
            <w:r>
              <w:rPr>
                <w:sz w:val="19"/>
              </w:rPr>
              <w:t>The approved audit-to-cybersecurity warrant moves from slide 5's OPTIONAL SPOKEN PROOF block into the core spoken opening on slide 2, where it now arrives before any terminology. It is capped at thirty to forty-five seconds and the note forbids adding to it. Nothing was invented: no dates, employers, metrics, reactions, reasons for the move or outcomes. The words are the ones already approved in this package.</w:t>
            </w:r>
          </w:p>
        </w:tc>
      </w:tr>
      <w:tr>
        <w:trPr>
          <w:cantSplit w:val="true"/>
        </w:trPr>
        <w:tc>
          <w:tcPr>
            <w:tcW w:type="dxa" w:w="2880"/>
          </w:tcPr>
          <w:p>
            <w:r>
              <w:rPr>
                <w:b/>
                <w:sz w:val="19"/>
              </w:rPr>
              <w:t>Ordinary language first</w:t>
            </w:r>
          </w:p>
        </w:tc>
        <w:tc>
          <w:tcPr>
            <w:tcW w:type="dxa" w:w="6768"/>
          </w:tcPr>
          <w:p>
            <w:r>
              <w:rPr>
                <w:sz w:val="19"/>
              </w:rPr>
              <w:t>Slides 4 and 5 now ask the question before naming the term. Slide 4 reads “Is the work still building you?” with “This reading calls that Density.” beneath it; slide 5 reads “Will what you build still travel?” with “This reading calls that Optionality.” Both terms are still taught and still measured by six statements each.</w:t>
            </w:r>
          </w:p>
        </w:tc>
      </w:tr>
      <w:tr>
        <w:trPr>
          <w:cantSplit w:val="true"/>
        </w:trPr>
        <w:tc>
          <w:tcPr>
            <w:tcW w:type="dxa" w:w="2880"/>
          </w:tcPr>
          <w:p>
            <w:r>
              <w:rPr>
                <w:b/>
                <w:sz w:val="19"/>
              </w:rPr>
              <w:t>Density, in natural language</w:t>
            </w:r>
          </w:p>
        </w:tc>
        <w:tc>
          <w:tcPr>
            <w:tcW w:type="dxa" w:w="6768"/>
          </w:tcPr>
          <w:p>
            <w:r>
              <w:rPr>
                <w:sz w:val="19"/>
              </w:rPr>
              <w:t>The definition drops the academic register. It now reads that Density reads whether this environment is still forming you, that it reads conditions rather than effort, and that a role can be demanding, important and exhausting and still stop building you. The correction beneath it names what Density is not: not how busy you are, not how much pressure you carry, not how much the organization depends on you.</w:t>
            </w:r>
          </w:p>
        </w:tc>
      </w:tr>
      <w:tr>
        <w:trPr>
          <w:cantSplit w:val="true"/>
        </w:trPr>
        <w:tc>
          <w:tcPr>
            <w:tcW w:type="dxa" w:w="2880"/>
          </w:tcPr>
          <w:p>
            <w:r>
              <w:rPr>
                <w:b/>
                <w:sz w:val="19"/>
              </w:rPr>
              <w:t>Optionality, realigned</w:t>
            </w:r>
          </w:p>
        </w:tc>
        <w:tc>
          <w:tcPr>
            <w:tcW w:type="dxa" w:w="6768"/>
          </w:tcPr>
          <w:p>
            <w:r>
              <w:rPr>
                <w:sz w:val="19"/>
              </w:rPr>
              <w:t>The old wording said Optionality was whether capability would be “recognised and valued somewhere other than here”, which read as a claim about employer recognition. It now reads whether what the work is building stays useful beyond the current context, and whether the participant could make it legible to someone outside the organization using evidence rather than a title. The boundary beneath it says plainly that translation is not recognition and that making work legible removes a barrier without deciding what another organization does with what it sees.</w:t>
            </w:r>
          </w:p>
        </w:tc>
      </w:tr>
      <w:tr>
        <w:trPr>
          <w:cantSplit w:val="true"/>
        </w:trPr>
        <w:tc>
          <w:tcPr>
            <w:tcW w:type="dxa" w:w="2880"/>
          </w:tcPr>
          <w:p>
            <w:r>
              <w:rPr>
                <w:b/>
                <w:sz w:val="19"/>
              </w:rPr>
              <w:t>The 12 statements</w:t>
            </w:r>
          </w:p>
        </w:tc>
        <w:tc>
          <w:tcPr>
            <w:tcW w:type="dxa" w:w="6768"/>
          </w:tcPr>
          <w:p>
            <w:r>
              <w:rPr>
                <w:sz w:val="19"/>
              </w:rPr>
              <w:t>UNTOUCHED, and asserted rather than assumed. Slides 6, 7, 9 and 10 are compared string by string against the approved v2.0.5 deck on disk. The scale, both /30 totals, the bands, the evidence protocol, the 3-versus-question-mark distinction and the ninety-day window are all unchanged.</w:t>
            </w:r>
          </w:p>
        </w:tc>
      </w:tr>
      <w:tr>
        <w:trPr>
          <w:cantSplit w:val="true"/>
        </w:trPr>
        <w:tc>
          <w:tcPr>
            <w:tcW w:type="dxa" w:w="2880"/>
          </w:tcPr>
          <w:p>
            <w:r>
              <w:rPr>
                <w:b/>
                <w:sz w:val="19"/>
              </w:rPr>
              <w:t>Slide 18, simplified</w:t>
            </w:r>
          </w:p>
        </w:tc>
        <w:tc>
          <w:tcPr>
            <w:tcW w:type="dxa" w:w="6768"/>
          </w:tcPr>
          <w:p>
            <w:r>
              <w:rPr>
                <w:sz w:val="19"/>
              </w:rPr>
              <w:t>The face carried the full sensitivity specification: four procedure steps, the 1-to-5 bound and the consequence, printed alongside the three tiers. It now carries the three tiers, a boundary band reading “17 TO 21 IS THE BOUNDARY BAND. A boundary reading overrides the normal high and low split.”, and the simplified dual-axis rule. Seventeen text blocks became fifteen and 955 characters became 706. NOTHING WAS LOST: the procedure was already printed on workbook page 4 and is repeated in full in the presenter note.</w:t>
            </w:r>
          </w:p>
        </w:tc>
      </w:tr>
      <w:tr>
        <w:trPr>
          <w:cantSplit w:val="true"/>
        </w:trPr>
        <w:tc>
          <w:tcPr>
            <w:tcW w:type="dxa" w:w="2880"/>
          </w:tcPr>
          <w:p>
            <w:r>
              <w:rPr>
                <w:b/>
                <w:sz w:val="19"/>
              </w:rPr>
              <w:t>The four-question portability audit</w:t>
            </w:r>
          </w:p>
        </w:tc>
        <w:tc>
          <w:tcPr>
            <w:tcW w:type="dxa" w:w="6768"/>
          </w:tcPr>
          <w:p>
            <w:r>
              <w:rPr>
                <w:sz w:val="19"/>
              </w:rPr>
              <w:t>Now appears ONCE, on slide 22, as a single line directly above the Next-Move Note: what travels, what does not, what can I prove, what must I relearn. It was an optional aside in slide 5's notes and is now the interpretive frame at the moment of interpretation. No new exercise, no new worksheet, nothing to score and nothing to hand in. The note adds the destination boundary: you cannot fully answer what travels until you know where it is travelling to, and generic portability is not destination-specific portability.</w:t>
            </w:r>
          </w:p>
        </w:tc>
      </w:tr>
      <w:tr>
        <w:trPr>
          <w:cantSplit w:val="true"/>
        </w:trPr>
        <w:tc>
          <w:tcPr>
            <w:tcW w:type="dxa" w:w="2880"/>
          </w:tcPr>
          <w:p>
            <w:r>
              <w:rPr>
                <w:b/>
                <w:sz w:val="19"/>
              </w:rPr>
              <w:t>Three move-category readings</w:t>
            </w:r>
          </w:p>
        </w:tc>
        <w:tc>
          <w:tcPr>
            <w:tcW w:type="dxa" w:w="6768"/>
          </w:tcPr>
          <w:p>
            <w:r>
              <w:rPr>
                <w:sz w:val="19"/>
              </w:rPr>
              <w:t>The seven names stand. “Translate what is built” now reads that the evidence is not yet legible outside, rather than that the language does not exist. “Widen exposure” now reads “Reach people who can evaluate or use it. Visibility is not evidence.”, replacing “The work is good and the wrong people have seen it.” “Repair formation conditions” becomes a category to test rather than the instruction “Change the work, not the employer, first.” All three stay on one line, which is what the row layout was built for.</w:t>
            </w:r>
          </w:p>
        </w:tc>
      </w:tr>
      <w:tr>
        <w:trPr>
          <w:cantSplit w:val="true"/>
        </w:trPr>
        <w:tc>
          <w:tcPr>
            <w:tcW w:type="dxa" w:w="2880"/>
          </w:tcPr>
          <w:p>
            <w:r>
              <w:rPr>
                <w:b/>
                <w:sz w:val="19"/>
              </w:rPr>
              <w:t>Slide 20</w:t>
            </w:r>
          </w:p>
        </w:tc>
        <w:tc>
          <w:tcPr>
            <w:tcW w:type="dxa" w:w="6768"/>
          </w:tcPr>
          <w:p>
            <w:r>
              <w:rPr>
                <w:sz w:val="19"/>
              </w:rPr>
              <w:t>The closing line said the fuller cost “belongs in deeper follow-on work”, which read as if the real interpretation was held back. It now says the reading given today is complete, and that depth, a named destination and rerunning as conditions change are what continued work adds.</w:t>
            </w:r>
          </w:p>
        </w:tc>
      </w:tr>
      <w:tr>
        <w:trPr>
          <w:cantSplit w:val="true"/>
        </w:trPr>
        <w:tc>
          <w:tcPr>
            <w:tcW w:type="dxa" w:w="2880"/>
          </w:tcPr>
          <w:p>
            <w:r>
              <w:rPr>
                <w:b/>
                <w:sz w:val="19"/>
              </w:rPr>
              <w:t>The close</w:t>
            </w:r>
          </w:p>
        </w:tc>
        <w:tc>
          <w:tcPr>
            <w:tcW w:type="dxa" w:w="6768"/>
          </w:tcPr>
          <w:p>
            <w:r>
              <w:rPr>
                <w:sz w:val="19"/>
              </w:rPr>
              <w:t>Slide 25 returns to the question the session opened with: you came in asking stay or leave, you leave with a clearer read. The body says plainly that the decision was not made for the participant and should not be, names what they do have, and keeps the ninety-day rescore. Not motivational, not grand.</w:t>
            </w:r>
          </w:p>
        </w:tc>
      </w:tr>
      <w:tr>
        <w:trPr>
          <w:cantSplit w:val="true"/>
        </w:trPr>
        <w:tc>
          <w:tcPr>
            <w:tcW w:type="dxa" w:w="2880"/>
          </w:tcPr>
          <w:p>
            <w:r>
              <w:rPr>
                <w:b/>
                <w:sz w:val="19"/>
              </w:rPr>
              <w:t>Commercial architecture</w:t>
            </w:r>
          </w:p>
        </w:tc>
        <w:tc>
          <w:tcPr>
            <w:tcW w:type="dxa" w:w="6768"/>
          </w:tcPr>
          <w:p>
            <w:r>
              <w:rPr>
                <w:sz w:val="19"/>
              </w:rPr>
              <w:t>The Private Capability Position Read is retired as an offer. The SOP's offer table is rebuilt to the current individual architecture: Career Evidence Starter free, Keep the Proof $49, Field Kit $150, Career Move Review $500 with qualification before payment. Keep the Proof is deliberately NOT added to the recorded continuation slide, because it answers a different problem and belongs in follow-up.</w:t>
            </w:r>
          </w:p>
        </w:tc>
      </w:tr>
      <w:tr>
        <w:trPr>
          <w:cantSplit w:val="true"/>
        </w:trPr>
        <w:tc>
          <w:tcPr>
            <w:tcW w:type="dxa" w:w="2880"/>
          </w:tcPr>
          <w:p>
            <w:r>
              <w:rPr>
                <w:b/>
                <w:sz w:val="19"/>
              </w:rPr>
              <w:t>Career Move Review — route not verified</w:t>
            </w:r>
          </w:p>
        </w:tc>
        <w:tc>
          <w:tcPr>
            <w:tcW w:type="dxa" w:w="6768"/>
          </w:tcPr>
          <w:p>
            <w:r>
              <w:rPr>
                <w:sz w:val="19"/>
              </w:rPr>
              <w:t>Route 3 stays OFF the recorded deck. No page, no route and no copy for Career Move Review exists anywhere in the repository, on this branch or on main. Under the operational condition in the brief, an unverified route is not offered from the stage. The SOP names it as the current advisory architecture and records its route verification as an outstanding launch condition.</w:t>
            </w:r>
          </w:p>
        </w:tc>
      </w:tr>
      <w:tr>
        <w:trPr>
          <w:cantSplit w:val="true"/>
        </w:trPr>
        <w:tc>
          <w:tcPr>
            <w:tcW w:type="dxa" w:w="2880"/>
          </w:tcPr>
          <w:p>
            <w:r>
              <w:rPr>
                <w:b/>
                <w:sz w:val="19"/>
              </w:rPr>
              <w:t>Polls</w:t>
            </w:r>
          </w:p>
        </w:tc>
        <w:tc>
          <w:tcPr>
            <w:tcW w:type="dxa" w:w="6768"/>
          </w:tcPr>
          <w:p>
            <w:r>
              <w:rPr>
                <w:sz w:val="19"/>
              </w:rPr>
              <w:t>The blanket ban becomes a precise rule. Nothing diagnostic, score-revealing, state-revealing, employer-revealing or decision-revealing runs inside the recorded assessment. One optional anonymous arrival poll may run BEFORE the recording starts while the dated holding slide is up, asking only “What brought you here?”. If the platform does not make it easy, skip it.</w:t>
            </w:r>
          </w:p>
        </w:tc>
      </w:tr>
      <w:tr>
        <w:trPr>
          <w:cantSplit w:val="true"/>
        </w:trPr>
        <w:tc>
          <w:tcPr>
            <w:tcW w:type="dxa" w:w="2880"/>
          </w:tcPr>
          <w:p>
            <w:r>
              <w:rPr>
                <w:b/>
                <w:sz w:val="19"/>
              </w:rPr>
              <w:t>The protected block</w:t>
            </w:r>
          </w:p>
        </w:tc>
        <w:tc>
          <w:tcPr>
            <w:tcW w:type="dxa" w:w="6768"/>
          </w:tcPr>
          <w:p>
            <w:r>
              <w:rPr>
                <w:sz w:val="19"/>
              </w:rPr>
              <w:t>Still twelve minutes, still non-negotiable, still silent. The note now permits ONE quiet midpoint cue at about 25:00: if you are around statement six you are on pace, keep the evidence phrases short. Then back to silence. The two-minute and thirty-second warnings are unchanged. This is facilitator presence, not teaching.</w:t>
            </w:r>
          </w:p>
        </w:tc>
      </w:tr>
      <w:tr>
        <w:trPr>
          <w:cantSplit w:val="true"/>
        </w:trPr>
        <w:tc>
          <w:tcPr>
            <w:tcW w:type="dxa" w:w="2880"/>
          </w:tcPr>
          <w:p>
            <w:r>
              <w:rPr>
                <w:b/>
                <w:sz w:val="19"/>
              </w:rPr>
              <w:t>Timing</w:t>
            </w:r>
          </w:p>
        </w:tc>
        <w:tc>
          <w:tcPr>
            <w:tcW w:type="dxa" w:w="6768"/>
          </w:tcPr>
          <w:p>
            <w:r>
              <w:rPr>
                <w:sz w:val="19"/>
              </w:rPr>
              <w:t>Ten seconds move from slide 1 to slide 2 so the lived warrant fits. Slide 1 is 0:00–0:30 and slide 2 is 0:30–1:20. Nothing else moves: the 2:00 and 5:00 block boundaries, the protected 19:00–31:00 rescore, the 50:00 recording stop and the 50:00–60:00 Q&amp;A are all exactly where they were, and the SOP's master reconciliation table needed no timing edit.</w:t>
            </w:r>
          </w:p>
        </w:tc>
      </w:tr>
      <w:tr>
        <w:trPr>
          <w:cantSplit w:val="true"/>
        </w:trPr>
        <w:tc>
          <w:tcPr>
            <w:tcW w:type="dxa" w:w="2880"/>
          </w:tcPr>
          <w:p>
            <w:r>
              <w:rPr>
                <w:b/>
                <w:sz w:val="19"/>
              </w:rPr>
              <w:t>Two pre-existing defects repaired</w:t>
            </w:r>
          </w:p>
        </w:tc>
        <w:tc>
          <w:tcPr>
            <w:tcW w:type="dxa" w:w="6768"/>
          </w:tcPr>
          <w:p>
            <w:r>
              <w:rPr>
                <w:sz w:val="19"/>
              </w:rPr>
              <w:t>Slide 22's third label ran past its box and collided with the answer rule; it is shortened to the length the other two labels use. Slide 18's overrun is resolved by the simplification. Five text frames flagged as overflowing on v2.0.5; three do on v2.0.6, and none of them is new.</w:t>
            </w:r>
          </w:p>
        </w:tc>
      </w:tr>
      <w:tr>
        <w:trPr>
          <w:cantSplit w:val="true"/>
        </w:trPr>
        <w:tc>
          <w:tcPr>
            <w:tcW w:type="dxa" w:w="2880"/>
          </w:tcPr>
          <w:p>
            <w:r>
              <w:rPr>
                <w:b/>
                <w:sz w:val="19"/>
              </w:rPr>
              <w:t>The workbook</w:t>
            </w:r>
          </w:p>
        </w:tc>
        <w:tc>
          <w:tcPr>
            <w:tcW w:type="dxa" w:w="6768"/>
          </w:tcPr>
          <w:p>
            <w:r>
              <w:rPr>
                <w:sz w:val="19"/>
              </w:rPr>
              <w:t>NOT TOUCHED. Byte-identical at sha256 2bd2912846a679837e8e6bfb4aadff2b… Its 68 form fields, calculation behavior, validation, question-mark handling, manual total fallback and JavaScript are untouched, so the owner-run Adobe Acrobat Reader pass of August 21, 2026 still applies to the exact file being shipped. Its British spellings are recorded as a deferred cosmetic issue and are NOT a reason to regenerate a validated form.</w:t>
            </w:r>
          </w:p>
        </w:tc>
      </w:tr>
    </w:tbl>
    <w:p>
      <w:pPr>
        <w:spacing w:before="120" w:after="120" w:line="40" w:lineRule="exact"/>
        <w:pBdr>
          <w:bottom w:val="single" w:sz="6" w:space="1" w:color="B8C5D9"/>
        </w:pBdr>
      </w:pPr>
    </w:p>
    <w:p>
      <w:pPr>
        <w:spacing w:before="320" w:after="160"/>
      </w:pPr>
      <w:r>
        <w:rPr>
          <w:b/>
          <w:color w:val="0F2347"/>
          <w:sz w:val="32"/>
        </w:rPr>
        <w:t>September 19 final-candidate pass — v2.0.7 / v2.0.10 / v1.3</w:t>
      </w:r>
    </w:p>
    <w:p>
      <w:pPr>
        <w:spacing w:after="160"/>
      </w:pPr>
      <w:r>
        <w:rPr>
          <w:b w:val="0"/>
          <w:i w:val="0"/>
          <w:color w:val="000000"/>
          <w:sz w:val="19"/>
        </w:rPr>
        <w:t>One narrow pass. Slide 22 gains visual authority for the portability frame, slide 5's note gains a single clarification about what the Optionality score is and is not, and the instrument conflict behind it is recorded for review after the delivery rather than acted on before it. Nothing already working was reopened.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Slide 22, visual only</w:t>
            </w:r>
          </w:p>
        </w:tc>
        <w:tc>
          <w:tcPr>
            <w:tcW w:type="dxa" w:w="6768"/>
          </w:tcPr>
          <w:p>
            <w:r>
              <w:rPr>
                <w:sz w:val="19"/>
              </w:rPr>
              <w:t>The four-question portability frame was a small bold line compressed under the subtitle. It now sits on its own strip: the same light panel and gold accent the three prompt blocks already use, at 11.5pt rather than 10pt, one line, one occurrence, and 0.10in clear of the first prompt block, which is exactly the gap those blocks keep between themselves. THE WRITING SPACE IS UNTOUCHED. The three prompt blocks, their answer rules and the closing band are all where v2.0.6 put them, to the EMU. The strip came out of title-box height that was never being used.</w:t>
            </w:r>
          </w:p>
        </w:tc>
      </w:tr>
      <w:tr>
        <w:trPr>
          <w:cantSplit w:val="true"/>
        </w:trPr>
        <w:tc>
          <w:tcPr>
            <w:tcW w:type="dxa" w:w="2880"/>
          </w:tcPr>
          <w:p>
            <w:r>
              <w:rPr>
                <w:b/>
                <w:sz w:val="19"/>
              </w:rPr>
              <w:t>Optionality instrument conflict — FLAGGED, NOT CHANGED</w:t>
            </w:r>
          </w:p>
        </w:tc>
        <w:tc>
          <w:tcPr>
            <w:tcW w:type="dxa" w:w="6768"/>
          </w:tcPr>
          <w:p>
            <w:r>
              <w:rPr>
                <w:sz w:val="19"/>
              </w:rPr>
              <w:t>The revised Optionality definition reads usefulness beyond the current context plus legibility through evidence. Three of the six scored statements sit less cleanly inside that reading. Statement 7 asks whether capability would be valued by an employer in a different industry, which is anticipated employer valuation. Statement 10 asks whether people with power to hire or advance can already see what the participant is good at, which is visibility. Statement 12 asks whether they could rebuild a strong position somewhere else within a year, which is a forecast. The current architecture holds that visibility is not evidence and translation is not employer recognition, so these three are a genuine conflict worth examining.</w:t>
            </w:r>
          </w:p>
        </w:tc>
      </w:tr>
      <w:tr>
        <w:trPr>
          <w:cantSplit w:val="true"/>
        </w:trPr>
        <w:tc>
          <w:tcPr>
            <w:tcW w:type="dxa" w:w="2880"/>
          </w:tcPr>
          <w:p>
            <w:r>
              <w:rPr>
                <w:b/>
                <w:sz w:val="19"/>
              </w:rPr>
              <w:t>What was done about it for September 23</w:t>
            </w:r>
          </w:p>
        </w:tc>
        <w:tc>
          <w:tcPr>
            <w:tcW w:type="dxa" w:w="6768"/>
          </w:tcPr>
          <w:p>
            <w:r>
              <w:rPr>
                <w:sz w:val="19"/>
              </w:rPr>
              <w:t>NOTHING TO THE INSTRUMENT. The 12 statements are unchanged, the workbook is not regenerated and its Acrobat gate stays valid. Slide 5's presenter note gains one clarification, said once and not on the participant-facing slide: the Optionality score is a composite reading of portability conditions and signals, not a prediction, and nothing on the axis forecasts that another employer will value, hire, promote or pay anyone. The note also tells the facilitator not to reword the statements in delivery.</w:t>
            </w:r>
          </w:p>
        </w:tc>
      </w:tr>
      <w:tr>
        <w:trPr>
          <w:cantSplit w:val="true"/>
        </w:trPr>
        <w:tc>
          <w:tcPr>
            <w:tcW w:type="dxa" w:w="2880"/>
          </w:tcPr>
          <w:p>
            <w:r>
              <w:rPr>
                <w:b/>
                <w:sz w:val="19"/>
              </w:rPr>
              <w:t>POST-SEPTEMBER-23 INSTRUMENT-REVIEW ITEM</w:t>
            </w:r>
          </w:p>
        </w:tc>
        <w:tc>
          <w:tcPr>
            <w:tcW w:type="dxa" w:w="6768"/>
          </w:tcPr>
          <w:p>
            <w:r>
              <w:rPr>
                <w:sz w:val="19"/>
              </w:rPr>
              <w:t>Examine statements 7, 10 and 12 in the next instrument revision, against the question of whether an Optionality item should read a condition the participant can evidence rather than an outcome another party controls. Any change to them regenerates the workbook, which resets the Adobe Acrobat behavior-test gate. This is deliberately NOT a September 23 change.</w:t>
            </w:r>
          </w:p>
        </w:tc>
      </w:tr>
      <w:tr>
        <w:trPr>
          <w:cantSplit w:val="true"/>
        </w:trPr>
        <w:tc>
          <w:tcPr>
            <w:tcW w:type="dxa" w:w="2880"/>
          </w:tcPr>
          <w:p>
            <w:r>
              <w:rPr>
                <w:b/>
                <w:sz w:val="19"/>
              </w:rPr>
              <w:t>SOP v2.0.9 -&gt; v2.0.10, version strings only</w:t>
            </w:r>
          </w:p>
        </w:tc>
        <w:tc>
          <w:tcPr>
            <w:tcW w:type="dxa" w:w="6768"/>
          </w:tcPr>
          <w:p>
            <w:r>
              <w:rPr>
                <w:sz w:val="19"/>
              </w:rPr>
              <w:t>Not an editorial pass. The deck moved to v2.0.7 and the SOP names the deck in its pre-session checklist and its source-of-truth map; left at v2.0.6 it would send a facilitator to a superseded file. The build asserts that the document differs from v2.0.9 by nothing but the substituted version strings, so the approved eight-page pagination cannot have moved, and it has not.</w:t>
            </w:r>
          </w:p>
        </w:tc>
      </w:tr>
      <w:tr>
        <w:trPr>
          <w:cantSplit w:val="true"/>
        </w:trPr>
        <w:tc>
          <w:tcPr>
            <w:tcW w:type="dxa" w:w="2880"/>
          </w:tcPr>
          <w:p>
            <w:r>
              <w:rPr>
                <w:b/>
                <w:sz w:val="19"/>
              </w:rPr>
              <w:t>Eight pages is approved and settled</w:t>
            </w:r>
          </w:p>
        </w:tc>
        <w:tc>
          <w:tcPr>
            <w:tcW w:type="dxa" w:w="6768"/>
          </w:tcPr>
          <w:p>
            <w:r>
              <w:rPr>
                <w:sz w:val="19"/>
              </w:rPr>
              <w:t>The v2.0.9 report explained the eight-page SOP as a decision being justified. It is now recorded as approved. No operating control is to be cut to restore the old seven-page count. The stub-page test that the seven-page pin protected is kept, and page 8 carries 31 substantive lines.</w:t>
            </w:r>
          </w:p>
        </w:tc>
      </w:tr>
      <w:tr>
        <w:trPr>
          <w:cantSplit w:val="true"/>
        </w:trPr>
        <w:tc>
          <w:tcPr>
            <w:tcW w:type="dxa" w:w="2880"/>
          </w:tcPr>
          <w:p>
            <w:r>
              <w:rPr>
                <w:b/>
                <w:sz w:val="19"/>
              </w:rPr>
              <w:t>Checklist v1.2 -&gt; v1.3</w:t>
            </w:r>
          </w:p>
        </w:tc>
        <w:tc>
          <w:tcPr>
            <w:tcW w:type="dxa" w:w="6768"/>
          </w:tcPr>
          <w:p>
            <w:r>
              <w:rPr>
                <w:sz w:val="19"/>
              </w:rPr>
              <w:t>The Maven page has been independently checked, so the checklist stops hedging. Sections A and B record the instructor title and bio as verified already aligned and not to be touched. Section C now replaces ALL THREE learning outcomes against their verified live wording rather than fixing outcome 3 alone. Section D's recommended copy no longer calls the session private: private scoring is accurate, a private group session is not, so it reads “live, evidence-based session”. Section F gains four site conflicts, each quoted with its file and line: the retired Private Read still visible on fieldkit.html and for-professionals.html, fieldkit.html:230 defining Optionality partly as visibility, for-professionals.html:222 combining Keep the Proof with the free Career Evidence Starter, and for-professionals.html:217 promising to decide the next move.</w:t>
            </w:r>
          </w:p>
        </w:tc>
      </w:tr>
      <w:tr>
        <w:trPr>
          <w:cantSplit w:val="true"/>
        </w:trPr>
        <w:tc>
          <w:tcPr>
            <w:tcW w:type="dxa" w:w="2880"/>
          </w:tcPr>
          <w:p>
            <w:r>
              <w:rPr>
                <w:b/>
                <w:sz w:val="19"/>
              </w:rPr>
              <w:t>What was deliberately not reopened</w:t>
            </w:r>
          </w:p>
        </w:tc>
        <w:tc>
          <w:tcPr>
            <w:tcW w:type="dxa" w:w="6768"/>
          </w:tcPr>
          <w:p>
            <w:r>
              <w:rPr>
                <w:sz w:val="19"/>
              </w:rPr>
              <w:t>The opening and its lived warrant, the Density and Optionality sequencing, the slide 18 simplification, the protected twelve-minute block, the seven move categories, the two-route continuation, the slide 25 close, the workbook binary and the recording and privacy architecture. The build asserts it: exactly one slide face and one speaker note differ from v2.0.6.</w:t>
            </w:r>
          </w:p>
        </w:tc>
      </w:tr>
      <w:tr>
        <w:trPr>
          <w:cantSplit w:val="true"/>
        </w:trPr>
        <w:tc>
          <w:tcPr>
            <w:tcW w:type="dxa" w:w="2880"/>
          </w:tcPr>
          <w:p>
            <w:r>
              <w:rPr>
                <w:b/>
                <w:sz w:val="19"/>
              </w:rPr>
              <w:t>Career Move Review</w:t>
            </w:r>
          </w:p>
        </w:tc>
        <w:tc>
          <w:tcPr>
            <w:tcW w:type="dxa" w:w="6768"/>
          </w:tcPr>
          <w:p>
            <w:r>
              <w:rPr>
                <w:sz w:val="19"/>
              </w:rPr>
              <w:t>Still OFF the participant-facing deck. No page, no route and no copy exists on this branch or on origin/main. The checklist now says explicitly that a Career Move Review call to action must NOT be substituted where the retired Private Read is removed: those are two separate decisions.</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244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 never pauses —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Pr>
                <w:sz w:val="17"/>
              </w:rPr>
              <w:t>REPOINTED IN v2.0.9. The SOP's offer table no longer prices an unavailable Private Read. It now carries the current individual architecture: free session, Career Evidence Starter free, Keep the Proof $49, Field Kit exactly $150, Career Move Review $500 with qualification before payment and its route marked NOT VERIFIED, the Private Capability Position Read marked RETIRED, and the former paid group workshop marked retired from active public sale.</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 v2.0.2, v2.0.3, v2.0.4, v2.0.6 or v2.0.7 —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Pr>
                <w:sz w:val="18"/>
              </w:rPr>
              <w:t>Slide 18 dual-axis rule has clearance, on a simplified face</w:t>
            </w:r>
          </w:p>
        </w:tc>
        <w:tc>
          <w:tcPr>
            <w:tcW w:type="dxa" w:w="893"/>
            <w:shd w:val="clear" w:fill="D9EAD3"/>
          </w:tcPr>
          <w:p>
            <w:r/>
            <w:r>
              <w:rPr>
                <w:b/>
                <w:color w:val="1A7A1A"/>
                <w:sz w:val="18"/>
              </w:rPr>
              <w:t>PASS</w:t>
            </w:r>
          </w:p>
        </w:tc>
        <w:tc>
          <w:tcPr>
            <w:tcW w:type="dxa" w:w="5587"/>
          </w:tcPr>
          <w:p>
            <w:r>
              <w:rPr>
                <w:sz w:val="17"/>
              </w:rPr>
              <w:t>REPOINTED IN v2.0.9. v2.0.5 fitted the rule beneath a face that also printed the whole sensitivity procedure. v2.0.6 removes four procedure lines from the face, so the rule now sits under a boundary band with room to breathe. It still breaks one clause per line and is still clear of the bar above it.</w:t>
            </w:r>
          </w:p>
        </w:tc>
      </w:tr>
      <w:tr>
        <w:trPr>
          <w:cantSplit w:val="true"/>
        </w:trPr>
        <w:tc>
          <w:tcPr>
            <w:tcW w:type="dxa" w:w="461"/>
          </w:tcPr>
          <w:p>
            <w:r/>
            <w:r>
              <w:rPr>
                <w:sz w:val="18"/>
              </w:rPr>
              <w:t>90</w:t>
            </w:r>
          </w:p>
        </w:tc>
        <w:tc>
          <w:tcPr>
            <w:tcW w:type="dxa" w:w="3139"/>
          </w:tcPr>
          <w:p>
            <w:r>
              <w:rPr>
                <w:sz w:val="18"/>
              </w:rPr>
              <w:t>Slide 21 move rows keep their single-line rhythm</w:t>
            </w:r>
          </w:p>
        </w:tc>
        <w:tc>
          <w:tcPr>
            <w:tcW w:type="dxa" w:w="893"/>
            <w:shd w:val="clear" w:fill="D9EAD3"/>
          </w:tcPr>
          <w:p>
            <w:r/>
            <w:r>
              <w:rPr>
                <w:b/>
                <w:color w:val="1A7A1A"/>
                <w:sz w:val="18"/>
              </w:rPr>
              <w:t>PASS</w:t>
            </w:r>
          </w:p>
        </w:tc>
        <w:tc>
          <w:tcPr>
            <w:tcW w:type="dxa" w:w="5587"/>
          </w:tcPr>
          <w:p>
            <w:r>
              <w:rPr>
                <w:sz w:val="17"/>
              </w:rPr>
              <w:t>REPOINTED IN v2.0.9, AND MORE HONEST THAN BEFORE. Three readings were rewritten and all three were kept to one line for the 5.48in column. Rows 6 and 7 wrapped to two lines in v2.0.5 as well, so the original claim that ALL rows were single-line was never quite true; this row now asserts what the layout actually requires.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Pr>
                <w:sz w:val="17"/>
              </w:rPr>
              <w:t>APPROVED AND SETTLED. Eight pages is the approved length for this document. The commercial architecture grew from two live offers to five and sections 4, 5 and 12 gained operational rules. No operating control is cut to restore the old seven-page count. The stub-page test the seven-page pin protected is kept: page 8 carries 31 substantive lines, not a stub.</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Pr>
                <w:sz w:val="18"/>
              </w:rPr>
              <w:t>Exported SOP is exactly eight pages</w:t>
            </w:r>
          </w:p>
        </w:tc>
        <w:tc>
          <w:tcPr>
            <w:tcW w:type="dxa" w:w="893"/>
            <w:shd w:val="clear" w:fill="D9EAD3"/>
          </w:tcPr>
          <w:p>
            <w:r/>
            <w:r>
              <w:rPr>
                <w:b/>
                <w:color w:val="1A7A1A"/>
                <w:sz w:val="18"/>
              </w:rPr>
              <w:t>PASS</w:t>
            </w:r>
          </w:p>
        </w:tc>
        <w:tc>
          <w:tcPr>
            <w:tcW w:type="dxa" w:w="5587"/>
          </w:tcPr>
          <w:p>
            <w:r>
              <w:rPr>
                <w:sz w:val="17"/>
              </w:rPr>
              <w:t>REPINNED FROM SEVEN IN v2.0.9, AND SAID OUT LOUD RATHER THAN QUIETLY DROPPED. The commercial architecture grew from two live offers to five, and sections 4, 5 and 12 gained operational rules the revision required. Prose was tightened first and the document still needs the page. The pin exists to catch an unnoticed overrun, not to cap content, so the count is re-pinned at eight and the stub-page test it protected is kept: page 8 carries 31 substantive lines.</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 v2.0.4 reconciliation —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Pr>
                <w:sz w:val="17"/>
              </w:rPr>
              <w:t>APPROVED AND SETTLED, not an open decision. Eight pages, orientation unchanged at portrait, landscape, landscape, then five portrait, and no stub final page.</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Pr>
                <w:sz w:val="18"/>
              </w:rPr>
              <w:t>SOP section 9 states the current Field Kit and Career Move Review checks</w:t>
            </w:r>
          </w:p>
        </w:tc>
        <w:tc>
          <w:tcPr>
            <w:tcW w:type="dxa" w:w="893"/>
            <w:shd w:val="clear" w:fill="D9EAD3"/>
          </w:tcPr>
          <w:p>
            <w:r/>
            <w:r>
              <w:rPr>
                <w:b/>
                <w:color w:val="1A7A1A"/>
                <w:sz w:val="18"/>
              </w:rPr>
              <w:t>PASS</w:t>
            </w:r>
          </w:p>
        </w:tc>
        <w:tc>
          <w:tcPr>
            <w:tcW w:type="dxa" w:w="5587"/>
          </w:tcPr>
          <w:p>
            <w:r>
              <w:rPr>
                <w:sz w:val="17"/>
              </w:rPr>
              <w:t>REPOINTED IN v2.0.9. Section 9 asked the facilitator to confirm the Private Read was still off the sequence. It now asks them to confirm the Career Move Review is still absent until its fulfillment route is verified operational, which is the check that actually applies.</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Slide 23 carries two routes: do nothing, or the Field Kit. The Private Capability Position Read is RETIRED as an offer. Career Move Review is the current advisory architecture and stays off the slide and out of Q&amp;A until its fulfillment route is verified, so no unavailable service is offered from the stage.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eight pages</w:t>
            </w:r>
          </w:p>
        </w:tc>
        <w:tc>
          <w:tcPr>
            <w:tcW w:type="dxa" w:w="893"/>
            <w:shd w:val="clear" w:fill="D9EAD3"/>
          </w:tcPr>
          <w:p>
            <w:r>
              <w:rPr>
                <w:b/>
                <w:color w:val="1A7A1A"/>
                <w:sz w:val="18"/>
              </w:rPr>
              <w:t>PASS</w:t>
            </w:r>
          </w:p>
        </w:tc>
        <w:tc>
          <w:tcPr>
            <w:tcW w:type="dxa" w:w="5587"/>
          </w:tcPr>
          <w:p>
            <w:r>
              <w:rPr>
                <w:sz w:val="17"/>
              </w:rPr>
              <w:t>Re-pinned in v2.0.9. Seven pages was the right pin for a document with two live offers; five offers and three new operational rules need eight. Prose was tightened first, the orientation sequence is unchanged, and page 8 carries 31 substantive lines rather than a stub.</w:t>
            </w:r>
          </w:p>
        </w:tc>
      </w:tr>
    </w:tbl>
    <w:p>
      <w:pPr>
        <w:spacing w:before="120" w:after="120" w:line="40" w:lineRule="exact"/>
        <w:pBdr>
          <w:bottom w:val="single" w:sz="6" w:space="1" w:color="B8C5D9"/>
        </w:pBdr>
      </w:pPr>
    </w:p>
    <w:p>
      <w:pPr>
        <w:keepNext/>
        <w:spacing w:before="240" w:after="80"/>
      </w:pPr>
      <w:r>
        <w:rPr>
          <w:b/>
          <w:color w:val="0F2347"/>
          <w:sz w:val="25"/>
        </w:rPr>
        <w:t>Group N — the September 19 revision, SUPERSEDED BY GROUP O and kept as the v2.0.6 record. Its rows are not counted again in the headline.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v2.0.9 and names deck v2.0.6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REPINNED FROM SEVEN. The commercial architecture grew from two live offers to five and three sections gained operational rules, so the document genuinely needs the page. The stub-page test that the seven-page pin protected is kept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v1.2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keepNext/>
        <w:spacing w:before="240" w:after="80"/>
      </w:pPr>
      <w:r>
        <w:rPr>
          <w:b/>
          <w:color w:val="0F2347"/>
          <w:sz w:val="25"/>
        </w:rPr>
        <w:t>Group O — the September 19 final-candidate pass, and the full re-run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v2.0.10 and names deck v2.0.7</w:t>
            </w:r>
          </w:p>
        </w:tc>
        <w:tc>
          <w:tcPr>
            <w:tcW w:type="dxa" w:w="893"/>
            <w:shd w:val="clear" w:fill="D9EAD3"/>
          </w:tcPr>
          <w:p>
            <w:r>
              <w:rPr>
                <w:b/>
                <w:color w:val="1A7A1A"/>
                <w:sz w:val="18"/>
              </w:rPr>
              <w:t>PASS</w:t>
            </w:r>
          </w:p>
        </w:tc>
        <w:tc>
          <w:tcPr>
            <w:tcW w:type="dxa" w:w="5587"/>
          </w:tcPr>
          <w:p>
            <w:r>
              <w:rPr>
                <w:sz w:val="17"/>
              </w:rPr>
              <w:t>no superseded version survives in the facilitator's source-of-truth map</w:t>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EIGHT PAGES IS APPROVED AND SETTLED, not an open decision. The commercial architecture grew from two live offers to five and three sections gained operational rules. The stub-page test the old seven-page pin protected is kept, and no operating control is cut to chase a page count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v1.3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229</w:t>
            </w:r>
          </w:p>
        </w:tc>
        <w:tc>
          <w:tcPr>
            <w:tcW w:type="dxa" w:w="3139"/>
          </w:tcPr>
          <w:p>
            <w:r>
              <w:rPr>
                <w:sz w:val="18"/>
              </w:rPr>
              <w:t>Only slide 22's face and slide 5's note changed in this pass</w:t>
            </w:r>
          </w:p>
        </w:tc>
        <w:tc>
          <w:tcPr>
            <w:tcW w:type="dxa" w:w="893"/>
            <w:shd w:val="clear" w:fill="D9EAD3"/>
          </w:tcPr>
          <w:p>
            <w:r>
              <w:rPr>
                <w:b/>
                <w:color w:val="1A7A1A"/>
                <w:sz w:val="18"/>
              </w:rPr>
              <w:t>PASS</w:t>
            </w:r>
          </w:p>
        </w:tc>
        <w:tc>
          <w:tcPr>
            <w:tcW w:type="dxa" w:w="5587"/>
          </w:tcPr>
          <w:p>
            <w:r>
              <w:rPr>
                <w:sz w:val="17"/>
              </w:rPr>
              <w:t>faces [22], notes [5]. Nothing already working was reopened</w:t>
            </w:r>
          </w:p>
        </w:tc>
      </w:tr>
      <w:tr>
        <w:trPr>
          <w:cantSplit w:val="true"/>
        </w:trPr>
        <w:tc>
          <w:tcPr>
            <w:tcW w:type="dxa" w:w="461"/>
          </w:tcPr>
          <w:p>
            <w:r>
              <w:rPr>
                <w:sz w:val="18"/>
              </w:rPr>
              <w:t>230</w:t>
            </w:r>
          </w:p>
        </w:tc>
        <w:tc>
          <w:tcPr>
            <w:tcW w:type="dxa" w:w="3139"/>
          </w:tcPr>
          <w:p>
            <w:r>
              <w:rPr>
                <w:sz w:val="18"/>
              </w:rPr>
              <w:t>The four questions are still on exactly one slide, and still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231</w:t>
            </w:r>
          </w:p>
        </w:tc>
        <w:tc>
          <w:tcPr>
            <w:tcW w:type="dxa" w:w="3139"/>
          </w:tcPr>
          <w:p>
            <w:r>
              <w:rPr>
                <w:sz w:val="18"/>
              </w:rPr>
              <w:t>The frame now has its own strip rather than a compressed aside</w:t>
            </w:r>
          </w:p>
        </w:tc>
        <w:tc>
          <w:tcPr>
            <w:tcW w:type="dxa" w:w="893"/>
            <w:shd w:val="clear" w:fill="D9EAD3"/>
          </w:tcPr>
          <w:p>
            <w:r>
              <w:rPr>
                <w:b/>
                <w:color w:val="1A7A1A"/>
                <w:sz w:val="18"/>
              </w:rPr>
              <w:t>PASS</w:t>
            </w:r>
          </w:p>
        </w:tc>
        <w:tc>
          <w:tcPr>
            <w:tcW w:type="dxa" w:w="5587"/>
          </w:tcPr>
          <w:p>
            <w:r>
              <w:rPr>
                <w:sz w:val="17"/>
              </w:rPr>
              <w:t>the subtitle is one line again and the questions sit on their own row</w:t>
            </w:r>
          </w:p>
        </w:tc>
      </w:tr>
      <w:tr>
        <w:trPr>
          <w:cantSplit w:val="true"/>
        </w:trPr>
        <w:tc>
          <w:tcPr>
            <w:tcW w:type="dxa" w:w="461"/>
          </w:tcPr>
          <w:p>
            <w:r>
              <w:rPr>
                <w:sz w:val="18"/>
              </w:rPr>
              <w:t>232</w:t>
            </w:r>
          </w:p>
        </w:tc>
        <w:tc>
          <w:tcPr>
            <w:tcW w:type="dxa" w:w="3139"/>
          </w:tcPr>
          <w:p>
            <w:r>
              <w:rPr>
                <w:sz w:val="18"/>
              </w:rPr>
              <w:t>The Next-Move Note writing space is untouched</w:t>
            </w:r>
          </w:p>
        </w:tc>
        <w:tc>
          <w:tcPr>
            <w:tcW w:type="dxa" w:w="893"/>
            <w:shd w:val="clear" w:fill="D9EAD3"/>
          </w:tcPr>
          <w:p>
            <w:r>
              <w:rPr>
                <w:b/>
                <w:color w:val="1A7A1A"/>
                <w:sz w:val="18"/>
              </w:rPr>
              <w:t>PASS</w:t>
            </w:r>
          </w:p>
        </w:tc>
        <w:tc>
          <w:tcPr>
            <w:tcW w:type="dxa" w:w="5587"/>
          </w:tcPr>
          <w:p>
            <w:r>
              <w:rPr>
                <w:sz w:val="17"/>
              </w:rPr>
              <w:t>the three prompt blocks, their rules and the closing band are all where v2.0.6 put them; the strip came out of unused title height</w:t>
            </w:r>
          </w:p>
        </w:tc>
      </w:tr>
      <w:tr>
        <w:trPr>
          <w:cantSplit w:val="true"/>
        </w:trPr>
        <w:tc>
          <w:tcPr>
            <w:tcW w:type="dxa" w:w="461"/>
          </w:tcPr>
          <w:p>
            <w:r>
              <w:rPr>
                <w:sz w:val="18"/>
              </w:rPr>
              <w:t>233</w:t>
            </w:r>
          </w:p>
        </w:tc>
        <w:tc>
          <w:tcPr>
            <w:tcW w:type="dxa" w:w="3139"/>
          </w:tcPr>
          <w:p>
            <w:r>
              <w:rPr>
                <w:sz w:val="18"/>
              </w:rPr>
              <w:t>Slide 22 gained exactly three shapes, all cloned from the slide</w:t>
            </w:r>
          </w:p>
        </w:tc>
        <w:tc>
          <w:tcPr>
            <w:tcW w:type="dxa" w:w="893"/>
            <w:shd w:val="clear" w:fill="D9EAD3"/>
          </w:tcPr>
          <w:p>
            <w:r>
              <w:rPr>
                <w:b/>
                <w:color w:val="1A7A1A"/>
                <w:sz w:val="18"/>
              </w:rPr>
              <w:t>PASS</w:t>
            </w:r>
          </w:p>
        </w:tc>
        <w:tc>
          <w:tcPr>
            <w:tcW w:type="dxa" w:w="5587"/>
          </w:tcPr>
          <w:p>
            <w:r>
              <w:rPr>
                <w:sz w:val="17"/>
              </w:rPr>
              <w:t>the panel, its gold accent and one line of text, copied from the prompt blocks so the strip inherits the deck's own styling</w:t>
            </w:r>
          </w:p>
        </w:tc>
      </w:tr>
      <w:tr>
        <w:trPr>
          <w:cantSplit w:val="true"/>
        </w:trPr>
        <w:tc>
          <w:tcPr>
            <w:tcW w:type="dxa" w:w="461"/>
          </w:tcPr>
          <w:p>
            <w:r>
              <w:rPr>
                <w:sz w:val="18"/>
              </w:rPr>
              <w:t>234</w:t>
            </w:r>
          </w:p>
        </w:tc>
        <w:tc>
          <w:tcPr>
            <w:tcW w:type="dxa" w:w="3139"/>
          </w:tcPr>
          <w:p>
            <w:r>
              <w:rPr>
                <w:sz w:val="18"/>
              </w:rPr>
              <w:t>The Optionality composite clarification is in the note, said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235</w:t>
            </w:r>
          </w:p>
        </w:tc>
        <w:tc>
          <w:tcPr>
            <w:tcW w:type="dxa" w:w="3139"/>
          </w:tcPr>
          <w:p>
            <w:r>
              <w:rPr>
                <w:sz w:val="18"/>
              </w:rPr>
              <w:t>It is not on any participant-facing slide</w:t>
            </w:r>
          </w:p>
        </w:tc>
        <w:tc>
          <w:tcPr>
            <w:tcW w:type="dxa" w:w="893"/>
            <w:shd w:val="clear" w:fill="D9EAD3"/>
          </w:tcPr>
          <w:p>
            <w:r>
              <w:rPr>
                <w:b/>
                <w:color w:val="1A7A1A"/>
                <w:sz w:val="18"/>
              </w:rPr>
              <w:t>PASS</w:t>
            </w:r>
          </w:p>
        </w:tc>
        <w:tc>
          <w:tcPr>
            <w:tcW w:type="dxa" w:w="5587"/>
          </w:tcPr>
          <w:p>
            <w:r>
              <w:rPr>
                <w:sz w:val="17"/>
              </w:rPr>
              <w:t>the slide face is unchanged from v2.0.6</w:t>
            </w:r>
          </w:p>
        </w:tc>
      </w:tr>
      <w:tr>
        <w:trPr>
          <w:cantSplit w:val="true"/>
        </w:trPr>
        <w:tc>
          <w:tcPr>
            <w:tcW w:type="dxa" w:w="461"/>
          </w:tcPr>
          <w:p>
            <w:r>
              <w:rPr>
                <w:sz w:val="18"/>
              </w:rPr>
              <w:t>236</w:t>
            </w:r>
          </w:p>
        </w:tc>
        <w:tc>
          <w:tcPr>
            <w:tcW w:type="dxa" w:w="3139"/>
          </w:tcPr>
          <w:p>
            <w:r>
              <w:rPr>
                <w:sz w:val="18"/>
              </w:rPr>
              <w:t>Statements 7, 10 and 12 are named as a post-September-23 review item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237</w:t>
            </w:r>
          </w:p>
        </w:tc>
        <w:tc>
          <w:tcPr>
            <w:tcW w:type="dxa" w:w="3139"/>
          </w:tcPr>
          <w:p>
            <w:r>
              <w:rPr>
                <w:sz w:val="18"/>
              </w:rPr>
              <w:t>The statements themselves are still untouched</w:t>
            </w:r>
          </w:p>
        </w:tc>
        <w:tc>
          <w:tcPr>
            <w:tcW w:type="dxa" w:w="893"/>
            <w:shd w:val="clear" w:fill="D9EAD3"/>
          </w:tcPr>
          <w:p>
            <w:r>
              <w:rPr>
                <w:b/>
                <w:color w:val="1A7A1A"/>
                <w:sz w:val="18"/>
              </w:rPr>
              <w:t>PASS</w:t>
            </w:r>
          </w:p>
        </w:tc>
        <w:tc>
          <w:tcPr>
            <w:tcW w:type="dxa" w:w="5587"/>
          </w:tcPr>
          <w:p>
            <w:r>
              <w:rPr>
                <w:sz w:val="17"/>
              </w:rPr>
              <w:t>flagged for review, not reworded, and the workbook is built on them</w:t>
            </w:r>
          </w:p>
        </w:tc>
      </w:tr>
      <w:tr>
        <w:trPr>
          <w:cantSplit w:val="true"/>
        </w:trPr>
        <w:tc>
          <w:tcPr>
            <w:tcW w:type="dxa" w:w="461"/>
          </w:tcPr>
          <w:p>
            <w:r>
              <w:rPr>
                <w:sz w:val="18"/>
              </w:rPr>
              <w:t>238</w:t>
            </w:r>
          </w:p>
        </w:tc>
        <w:tc>
          <w:tcPr>
            <w:tcW w:type="dxa" w:w="3139"/>
          </w:tcPr>
          <w:p>
            <w:r>
              <w:rPr>
                <w:sz w:val="18"/>
              </w:rPr>
              <w:t>The checklist replaces all three Maven outcomes against live wording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239</w:t>
            </w:r>
          </w:p>
        </w:tc>
        <w:tc>
          <w:tcPr>
            <w:tcW w:type="dxa" w:w="3139"/>
          </w:tcPr>
          <w:p>
            <w:r>
              <w:rPr>
                <w:sz w:val="18"/>
              </w:rPr>
              <w:t>The recommended Maven copy does not call the group session private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240</w:t>
            </w:r>
          </w:p>
        </w:tc>
        <w:tc>
          <w:tcPr>
            <w:tcW w:type="dxa" w:w="3139"/>
          </w:tcPr>
          <w:p>
            <w:r>
              <w:rPr>
                <w:sz w:val="18"/>
              </w:rPr>
              <w:t>The checklist carries all four verified site conflicts with references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241</w:t>
            </w:r>
          </w:p>
        </w:tc>
        <w:tc>
          <w:tcPr>
            <w:tcW w:type="dxa" w:w="3139"/>
          </w:tcPr>
          <w:p>
            <w:r>
              <w:rPr>
                <w:sz w:val="18"/>
              </w:rPr>
              <w:t>Maven date, time, duration and positioning are marked do-not-change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242</w:t>
            </w:r>
          </w:p>
        </w:tc>
        <w:tc>
          <w:tcPr>
            <w:tcW w:type="dxa" w:w="3139"/>
          </w:tcPr>
          <w:p>
            <w:r>
              <w:rPr>
                <w:sz w:val="18"/>
              </w:rPr>
              <w:t>The SOP changed by version strings only</w:t>
            </w:r>
          </w:p>
        </w:tc>
        <w:tc>
          <w:tcPr>
            <w:tcW w:type="dxa" w:w="893"/>
            <w:shd w:val="clear" w:fill="D9EAD3"/>
          </w:tcPr>
          <w:p>
            <w:r>
              <w:rPr>
                <w:b/>
                <w:color w:val="1A7A1A"/>
                <w:sz w:val="18"/>
              </w:rPr>
              <w:t>PASS</w:t>
            </w:r>
          </w:p>
        </w:tc>
        <w:tc>
          <w:tcPr>
            <w:tcW w:type="dxa" w:w="5587"/>
          </w:tcPr>
          <w:p>
            <w:r>
              <w:rPr>
                <w:sz w:val="17"/>
              </w:rPr>
              <w:t>v2.0.9 to v2.0.10 is a pure substitution so the deck reference is not stale. No prose, rule, table or ordering moved, and the approved eight pages hold</w:t>
            </w:r>
          </w:p>
        </w:tc>
      </w:tr>
      <w:tr>
        <w:trPr>
          <w:cantSplit w:val="true"/>
        </w:trPr>
        <w:tc>
          <w:tcPr>
            <w:tcW w:type="dxa" w:w="461"/>
          </w:tcPr>
          <w:p>
            <w:r>
              <w:rPr>
                <w:sz w:val="18"/>
              </w:rPr>
              <w:t>243</w:t>
            </w:r>
          </w:p>
        </w:tc>
        <w:tc>
          <w:tcPr>
            <w:tcW w:type="dxa" w:w="3139"/>
          </w:tcPr>
          <w:p>
            <w:r>
              <w:rPr>
                <w:sz w:val="18"/>
              </w:rPr>
              <w:t>Career Move Review is still off every slide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244</w:t>
            </w:r>
          </w:p>
        </w:tc>
        <w:tc>
          <w:tcPr>
            <w:tcW w:type="dxa" w:w="3139"/>
          </w:tcPr>
          <w:p>
            <w:r>
              <w:rPr>
                <w:sz w:val="18"/>
              </w:rPr>
              <w:t>Nothing was promoted to FINAL</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spacing w:after="160"/>
      </w:pPr>
      <w:r>
        <w:rPr>
          <w:b/>
          <w:i w:val="0"/>
          <w:color w:val="0F2347"/>
          <w:sz w:val="21"/>
        </w:rPr>
        <w:t>244 of 244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v2.0.6 was exported with LibreOffice Impress and every visible slide inspected. It exports 26 pages — the seven hidden slides are correctly excluded — and the delivered preview is PREVIEW_Presentation_60MIN_v2.0.7_LibreOffice.pdf, rendered from the v2.0.7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PREVIEW_SOP_60MIN_v2.0.10_LibreOffice.pdf and inspected page by page. The v2.0.9 export is EXACTLY EIGHT PAGES: page 1 portrait, pages 2 and 3 landscape carrying the reconciliation table seven rows then six, and pages 4 through 7 portrait. No page carries fewer than five substantive lines once the repeated footer and revision stamp are discounted, there is no blank, divider-only, transition-only or short spill page, and body ink on page 7 reaches 91% down the page. The page count is pinned, not left open — an unpinned count is what let v2.0.5 ship at eight pages with a stub final page. The delivered preview was re-exported from the delivered .docx and compared page by page against the shipped file: same page count, same orientation on each page, identical text. It is a genuine LibreOffice Writer export, not a custom render of a parallel model.</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v2.0.10  ·  INTERNAL ONLY  ·  Revised Saturday, September 19, 2026 at 11:20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