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080"/>
      </w:tblGrid>
      <w:tr>
        <w:tc>
          <w:tcPr>
            <w:tcW w:type="dxa" w:w="10080"/>
            <w:shd w:val="clear" w:fill="0F2347"/>
          </w:tcPr>
          <w:p>
            <w:r>
              <w:rPr>
                <w:b/>
                <w:color w:val="FFFFFF"/>
                <w:sz w:val="19"/>
              </w:rPr>
              <w:t>INTERNAL OPERATIONS — NOT PARTICIPANT-FACING</w:t>
            </w:r>
          </w:p>
          <w:p>
            <w:r>
              <w:rPr>
                <w:b/>
                <w:color w:val="FFFFFF"/>
                <w:sz w:val="40"/>
              </w:rPr>
              <w:t>CTA Update — Change Log</w:t>
            </w:r>
          </w:p>
          <w:p>
            <w:r>
              <w:rPr>
                <w:i/>
                <w:color w:val="E3D9C4"/>
                <w:sz w:val="22"/>
              </w:rPr>
              <w:t>Both Lightning Lesson decks  ·  CANDIDATE  ·  Revised Sunday, August 23, 2026 at 4:22 AM CT</w:t>
            </w:r>
          </w:p>
        </w:tc>
      </w:tr>
    </w:tbl>
    <w:p>
      <w:pPr>
        <w:spacing w:after="80"/>
      </w:pPr>
    </w:p>
    <w:p>
      <w:pPr>
        <w:spacing w:after="160"/>
      </w:pPr>
      <w:r>
        <w:rPr>
          <w:b/>
          <w:i w:val="0"/>
          <w:color w:val="B00000"/>
          <w:sz w:val="21"/>
        </w:rPr>
        <w:t>PRODUCTION REVISION STAMP — Revised Sunday, August 23, 2026 at 4:22 AM CT</w:t>
      </w:r>
    </w:p>
    <w:p>
      <w:pPr>
        <w:spacing w:after="160"/>
      </w:pPr>
      <w:r>
        <w:rPr>
          <w:b/>
          <w:i w:val="0"/>
          <w:color w:val="000000"/>
          <w:sz w:val="19"/>
        </w:rPr>
        <w:t>The retired paid group workshop is removed from both decks and replaced by two routes: the free September 16 guided read as the primary route, and the Capability Formation Field Kit as the optional private alternative. Neither is presented as required, and neither free lesson is described as incomplete.</w:t>
      </w:r>
    </w:p>
    <w:p>
      <w:pPr>
        <w:spacing w:before="120" w:after="120" w:line="40" w:lineRule="exact"/>
        <w:pBdr>
          <w:bottom w:val="single" w:sz="6" w:space="1" w:color="B8C5D9"/>
        </w:pBdr>
      </w:pPr>
    </w:p>
    <w:p>
      <w:pPr>
        <w:spacing w:before="320" w:after="160"/>
      </w:pPr>
      <w:r>
        <w:rPr>
          <w:b/>
          <w:color w:val="0F2347"/>
          <w:sz w:val="32"/>
        </w:rPr>
        <w:t>September 2 — v3.3.6 to v3.3.7 to v3.3.8 CANDIDATE</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736"/>
            <w:shd w:val="clear" w:fill="0F2347"/>
          </w:tcPr>
          <w:p>
            <w:r/>
            <w:r>
              <w:rPr>
                <w:b/>
                <w:color w:val="FFFFFF"/>
                <w:sz w:val="19"/>
              </w:rPr>
              <w:t>Where</w:t>
            </w:r>
          </w:p>
        </w:tc>
        <w:tc>
          <w:tcPr>
            <w:tcW w:type="dxa" w:w="6912"/>
            <w:shd w:val="clear" w:fill="0F2347"/>
          </w:tcPr>
          <w:p>
            <w:r/>
            <w:r>
              <w:rPr>
                <w:b/>
                <w:color w:val="FFFFFF"/>
                <w:sz w:val="19"/>
              </w:rPr>
              <w:t>Change</w:t>
            </w:r>
          </w:p>
        </w:tc>
      </w:tr>
      <w:tr>
        <w:trPr>
          <w:cantSplit w:val="true"/>
        </w:trPr>
        <w:tc>
          <w:tcPr>
            <w:tcW w:type="dxa" w:w="2736"/>
          </w:tcPr>
          <w:p>
            <w:r/>
            <w:r>
              <w:rPr>
                <w:b/>
                <w:sz w:val="19"/>
              </w:rPr>
              <w:t>Method</w:t>
            </w:r>
          </w:p>
        </w:tc>
        <w:tc>
          <w:tcPr>
            <w:tcW w:type="dxa" w:w="6912"/>
          </w:tcPr>
          <w:p>
            <w:r/>
            <w:r>
              <w:rPr>
                <w:sz w:val="19"/>
              </w:rPr>
              <w:t>The v3.3.x lineage has never had a from-scratch generator. Every version in it was produced by opening the prior approved PPTX and rewriting specific slides under script control, and this continues that method: build_deck1_v337.py. Nothing was hand-edited and v3.3.6 was not overwritten.</w:t>
            </w:r>
          </w:p>
        </w:tc>
      </w:tr>
      <w:tr>
        <w:trPr>
          <w:cantSplit w:val="true"/>
        </w:trPr>
        <w:tc>
          <w:tcPr>
            <w:tcW w:type="dxa" w:w="2736"/>
          </w:tcPr>
          <w:p>
            <w:r/>
            <w:r>
              <w:rPr>
                <w:b/>
                <w:sz w:val="19"/>
              </w:rPr>
              <w:t>Slide 12</w:t>
            </w:r>
          </w:p>
        </w:tc>
        <w:tc>
          <w:tcPr>
            <w:tcW w:type="dxa" w:w="6912"/>
          </w:tcPr>
          <w:p>
            <w:r/>
            <w:r>
              <w:rPr>
                <w:sz w:val="19"/>
              </w:rPr>
              <w:t>Speaker note only. The sentence calling the retired workshop an insurance policy against a career mistake is replaced. No slide face change.</w:t>
            </w:r>
          </w:p>
        </w:tc>
      </w:tr>
      <w:tr>
        <w:trPr>
          <w:cantSplit w:val="true"/>
        </w:trPr>
        <w:tc>
          <w:tcPr>
            <w:tcW w:type="dxa" w:w="2736"/>
          </w:tcPr>
          <w:p>
            <w:r/>
            <w:r>
              <w:rPr>
                <w:b/>
                <w:sz w:val="19"/>
              </w:rPr>
              <w:t>Slide 13</w:t>
            </w:r>
          </w:p>
        </w:tc>
        <w:tc>
          <w:tcPr>
            <w:tcW w:type="dxa" w:w="6912"/>
          </w:tcPr>
          <w:p>
            <w:r/>
            <w:r>
              <w:rPr>
                <w:sz w:val="19"/>
              </w:rPr>
              <w:t>Rebuilt. FROM RECOGNITION TO A GUIDED READ. Today's recognition on the left, the September 16 guided read on the right, closing on “September 2 opens the question. September 16 guides the read.” The obsolete paid-workshop comparison is gone.</w:t>
            </w:r>
          </w:p>
        </w:tc>
      </w:tr>
      <w:tr>
        <w:trPr>
          <w:cantSplit w:val="true"/>
        </w:trPr>
        <w:tc>
          <w:tcPr>
            <w:tcW w:type="dxa" w:w="2736"/>
          </w:tcPr>
          <w:p>
            <w:r/>
            <w:r>
              <w:rPr>
                <w:b/>
                <w:sz w:val="19"/>
              </w:rPr>
              <w:t>Slide 14</w:t>
            </w:r>
          </w:p>
        </w:tc>
        <w:tc>
          <w:tcPr>
            <w:tcW w:type="dxa" w:w="6912"/>
          </w:tcPr>
          <w:p>
            <w:r/>
            <w:r>
              <w:rPr>
                <w:sz w:val="19"/>
              </w:rPr>
              <w:t>Rebuilt as the two-route continuation slide. Left, primary: the free session, date, time, a rust REGISTER FREE button and a QR to Maven. Right: the Field Kit, an outlined EXPLORE THE FIELD KIT CTA, the visible temidayoafonja.com/book route and a QR to Gumroad. The September 17 / $500 / limited-to-12 invitation is gone.</w:t>
            </w:r>
          </w:p>
        </w:tc>
      </w:tr>
      <w:tr>
        <w:trPr>
          <w:cantSplit w:val="true"/>
        </w:trPr>
        <w:tc>
          <w:tcPr>
            <w:tcW w:type="dxa" w:w="2736"/>
          </w:tcPr>
          <w:p>
            <w:r/>
            <w:r>
              <w:rPr>
                <w:b/>
                <w:sz w:val="19"/>
              </w:rPr>
              <w:t>Slide 15</w:t>
            </w:r>
          </w:p>
        </w:tc>
        <w:tc>
          <w:tcPr>
            <w:tcW w:type="dxa" w:w="6912"/>
          </w:tcPr>
          <w:p>
            <w:r/>
            <w:r>
              <w:rPr>
                <w:sz w:val="19"/>
              </w:rPr>
              <w:t>Footer line replaced with “Continue live on September 16 or privately with the Field Kit · Links in chat”. Notes carry both prebuilt chat messages. Q&amp;A timing 35:00–45:00 is unchanged.</w:t>
            </w:r>
          </w:p>
        </w:tc>
      </w:tr>
      <w:tr>
        <w:trPr>
          <w:cantSplit w:val="true"/>
        </w:trPr>
        <w:tc>
          <w:tcPr>
            <w:tcW w:type="dxa" w:w="2736"/>
          </w:tcPr>
          <w:p>
            <w:r/>
            <w:r>
              <w:rPr>
                <w:b/>
                <w:sz w:val="19"/>
              </w:rPr>
              <w:t>Hidden references removed</w:t>
            </w:r>
          </w:p>
        </w:tc>
        <w:tc>
          <w:tcPr>
            <w:tcW w:type="dxa" w:w="6912"/>
          </w:tcPr>
          <w:p>
            <w:r/>
            <w:r>
              <w:rPr>
                <w:sz w:val="19"/>
              </w:rPr>
              <w:t>Clearing slide 14's shapes left its hyperlink relationships behind, so the old Maven workshop URL and the retired Substack URL survived as orphaned rels — invisible on the face, still in the file. Both are now purged with the shapes.</w:t>
            </w:r>
          </w:p>
        </w:tc>
      </w:tr>
      <w:tr>
        <w:trPr>
          <w:cantSplit w:val="true"/>
        </w:trPr>
        <w:tc>
          <w:tcPr>
            <w:tcW w:type="dxa" w:w="2736"/>
          </w:tcPr>
          <w:p>
            <w:r/>
            <w:r>
              <w:rPr>
                <w:b/>
                <w:sz w:val="19"/>
              </w:rPr>
              <w:t>v3.3.8 — notes only</w:t>
            </w:r>
          </w:p>
        </w:tc>
        <w:tc>
          <w:tcPr>
            <w:tcW w:type="dxa" w:w="6912"/>
          </w:tcPr>
          <w:p>
            <w:r/>
            <w:r>
              <w:rPr>
                <w:sz w:val="19"/>
              </w:rPr>
              <w:t>Slide 15's note still called the continuation invitation a “paid invitation” in two sentences. Both now read “continuation invitation”. NOTHING ELSE CHANGED: the build asserts that every slide face and every other slide's notes are byte-identical to v3.3.7, and that slide count, hidden state and links are unchanged. The appendix, slide 16, remains hidden — it is excluded from the 15-page export.</w:t>
            </w:r>
          </w:p>
        </w:tc>
      </w:tr>
    </w:tbl>
    <w:p>
      <w:pPr>
        <w:spacing w:after="80"/>
      </w:pPr>
    </w:p>
    <w:p>
      <w:pPr>
        <w:spacing w:before="120" w:after="120" w:line="40" w:lineRule="exact"/>
        <w:pBdr>
          <w:bottom w:val="single" w:sz="6" w:space="1" w:color="B8C5D9"/>
        </w:pBdr>
      </w:pPr>
    </w:p>
    <w:p>
      <w:pPr>
        <w:spacing w:before="320" w:after="160"/>
      </w:pPr>
      <w:r>
        <w:rPr>
          <w:b/>
          <w:color w:val="0F2347"/>
          <w:sz w:val="32"/>
        </w:rPr>
        <w:t>September 16 — v2.0.2 to v2.0.3 CANDIDATE</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736"/>
            <w:shd w:val="clear" w:fill="0F2347"/>
          </w:tcPr>
          <w:p>
            <w:r/>
            <w:r>
              <w:rPr>
                <w:b/>
                <w:color w:val="FFFFFF"/>
                <w:sz w:val="19"/>
              </w:rPr>
              <w:t>Where</w:t>
            </w:r>
          </w:p>
        </w:tc>
        <w:tc>
          <w:tcPr>
            <w:tcW w:type="dxa" w:w="6912"/>
            <w:shd w:val="clear" w:fill="0F2347"/>
          </w:tcPr>
          <w:p>
            <w:r/>
            <w:r>
              <w:rPr>
                <w:b/>
                <w:color w:val="FFFFFF"/>
                <w:sz w:val="19"/>
              </w:rPr>
              <w:t>Change</w:t>
            </w:r>
          </w:p>
        </w:tc>
      </w:tr>
      <w:tr>
        <w:trPr>
          <w:cantSplit w:val="true"/>
        </w:trPr>
        <w:tc>
          <w:tcPr>
            <w:tcW w:type="dxa" w:w="2736"/>
          </w:tcPr>
          <w:p>
            <w:r/>
            <w:r>
              <w:rPr>
                <w:b/>
                <w:sz w:val="19"/>
              </w:rPr>
              <w:t>Method</w:t>
            </w:r>
          </w:p>
        </w:tc>
        <w:tc>
          <w:tcPr>
            <w:tcW w:type="dxa" w:w="6912"/>
          </w:tcPr>
          <w:p>
            <w:r/>
            <w:r>
              <w:rPr>
                <w:sz w:val="19"/>
              </w:rPr>
              <w:t>The production generator, forked to build_flagship_v203.js. Only the slide 24 block changed.</w:t>
            </w:r>
          </w:p>
        </w:tc>
      </w:tr>
      <w:tr>
        <w:trPr>
          <w:cantSplit w:val="true"/>
        </w:trPr>
        <w:tc>
          <w:tcPr>
            <w:tcW w:type="dxa" w:w="2736"/>
          </w:tcPr>
          <w:p>
            <w:r/>
            <w:r>
              <w:rPr>
                <w:b/>
                <w:sz w:val="19"/>
              </w:rPr>
              <w:t>Slide 23</w:t>
            </w:r>
          </w:p>
        </w:tc>
        <w:tc>
          <w:tcPr>
            <w:tcW w:type="dxa" w:w="6912"/>
          </w:tcPr>
          <w:p>
            <w:r/>
            <w:r>
              <w:rPr>
                <w:sz w:val="19"/>
              </w:rPr>
              <w:t>Unchanged. It still releases participants who have enough and still carries the Private Capability Position Read as the separate high-touch route.</w:t>
            </w:r>
          </w:p>
        </w:tc>
      </w:tr>
      <w:tr>
        <w:trPr>
          <w:cantSplit w:val="true"/>
        </w:trPr>
        <w:tc>
          <w:tcPr>
            <w:tcW w:type="dxa" w:w="2736"/>
          </w:tcPr>
          <w:p>
            <w:r/>
            <w:r>
              <w:rPr>
                <w:b/>
                <w:sz w:val="19"/>
              </w:rPr>
              <w:t>Slide 24</w:t>
            </w:r>
          </w:p>
        </w:tc>
        <w:tc>
          <w:tcPr>
            <w:tcW w:type="dxa" w:w="6912"/>
          </w:tcPr>
          <w:p>
            <w:r/>
            <w:r>
              <w:rPr>
                <w:sz w:val="19"/>
              </w:rPr>
              <w:t>Replaced, not added. KEEP WORKING PRIVATELY. Today's guided read on the left, explicitly “Complete on its own.”; the Field Kit on the right with the real cover image, a QR, the CTA and the visible temidayoafonja.com/book route, all resolving to Gumroad. The Private Read is not re-pitched here.</w:t>
            </w:r>
          </w:p>
        </w:tc>
      </w:tr>
      <w:tr>
        <w:trPr>
          <w:cantSplit w:val="true"/>
        </w:trPr>
        <w:tc>
          <w:tcPr>
            <w:tcW w:type="dxa" w:w="2736"/>
          </w:tcPr>
          <w:p>
            <w:r/>
            <w:r>
              <w:rPr>
                <w:b/>
                <w:sz w:val="19"/>
              </w:rPr>
              <w:t>Pricing</w:t>
            </w:r>
          </w:p>
        </w:tc>
        <w:tc>
          <w:tcPr>
            <w:tcW w:type="dxa" w:w="6912"/>
          </w:tcPr>
          <w:p>
            <w:r/>
            <w:r>
              <w:rPr>
                <w:sz w:val="19"/>
              </w:rPr>
              <w:t>No price on the slide face. The note instructs the facilitator to verify the current public price and purchase route immediately before delivery and to post them in the live chat; the permanent replay slide stays price-free.</w:t>
            </w:r>
          </w:p>
        </w:tc>
      </w:tr>
      <w:tr>
        <w:trPr>
          <w:cantSplit w:val="true"/>
        </w:trPr>
        <w:tc>
          <w:tcPr>
            <w:tcW w:type="dxa" w:w="2736"/>
          </w:tcPr>
          <w:p>
            <w:r/>
            <w:r>
              <w:rPr>
                <w:b/>
                <w:sz w:val="19"/>
              </w:rPr>
              <w:t>Preserved</w:t>
            </w:r>
          </w:p>
        </w:tc>
        <w:tc>
          <w:tcPr>
            <w:tcW w:type="dxa" w:w="6912"/>
          </w:tcPr>
          <w:p>
            <w:r/>
            <w:r>
              <w:rPr>
                <w:sz w:val="19"/>
              </w:rPr>
              <w:t>Slide 23 at 45:00–46:00, slide 24 at 46:00–47:00, slide 25 as the last recorded slide, recording stop at 50:00, slide 26 as the live-only Q&amp;A, 26 active plus 7 hidden, slides 27–33 hidden, and every recording and privacy boundary.</w:t>
            </w:r>
          </w:p>
        </w:tc>
      </w:tr>
    </w:tbl>
    <w:p>
      <w:pPr>
        <w:spacing w:after="80"/>
      </w:pPr>
    </w:p>
    <w:p>
      <w:pPr>
        <w:spacing w:before="120" w:after="120" w:line="40" w:lineRule="exact"/>
        <w:pBdr>
          <w:bottom w:val="single" w:sz="6" w:space="1" w:color="B8C5D9"/>
        </w:pBdr>
      </w:pPr>
    </w:p>
    <w:p>
      <w:pPr>
        <w:spacing w:before="320" w:after="160"/>
      </w:pPr>
      <w:r>
        <w:rPr>
          <w:b/>
          <w:color w:val="0F2347"/>
          <w:sz w:val="32"/>
        </w:rPr>
        <w:t>Dependent documentation</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736"/>
            <w:shd w:val="clear" w:fill="0F2347"/>
          </w:tcPr>
          <w:p>
            <w:r/>
            <w:r>
              <w:rPr>
                <w:b/>
                <w:color w:val="FFFFFF"/>
                <w:sz w:val="19"/>
              </w:rPr>
              <w:t>Artifact</w:t>
            </w:r>
          </w:p>
        </w:tc>
        <w:tc>
          <w:tcPr>
            <w:tcW w:type="dxa" w:w="6912"/>
            <w:shd w:val="clear" w:fill="0F2347"/>
          </w:tcPr>
          <w:p>
            <w:r/>
            <w:r>
              <w:rPr>
                <w:b/>
                <w:color w:val="FFFFFF"/>
                <w:sz w:val="19"/>
              </w:rPr>
              <w:t>Change</w:t>
            </w:r>
          </w:p>
        </w:tc>
      </w:tr>
      <w:tr>
        <w:trPr>
          <w:cantSplit w:val="true"/>
        </w:trPr>
        <w:tc>
          <w:tcPr>
            <w:tcW w:type="dxa" w:w="2736"/>
          </w:tcPr>
          <w:p>
            <w:r/>
            <w:r>
              <w:rPr>
                <w:b/>
                <w:sz w:val="19"/>
              </w:rPr>
              <w:t>SOP v2.0.6</w:t>
            </w:r>
          </w:p>
        </w:tc>
        <w:tc>
          <w:tcPr>
            <w:tcW w:type="dxa" w:w="6912"/>
          </w:tcPr>
          <w:p>
            <w:r/>
            <w:r>
              <w:rPr>
                <w:sz w:val="19"/>
              </w:rPr>
              <w:t>The commercial rule no longer says both price figures live in speaker notes. It now reads: no fixed pricing on any recorded slide face or as a durable figure in speaker notes; verify the current public price and purchase route immediately before delivery; state or post only verified current information live. Section 12 separates LIVE external assets — the Maven page, September 2 attendee communications, the Field Kit and its Gumroad route, current website copy — from genuinely unbuilt work. The source map names deck v2.0.3, workbook v2.0.1, SOP v2.0.6, Architecture v1.1 read-only, and records the owner-run Acrobat pass. v2.0.6 additionally fixes a pagination regression — v2.0.5 exported at eight pages with a short spill page — by tightening default line spacing from 1.15 to 1.025, tightening heading and divider spacing, and condensing section 12 by wording. Type sizes are unchanged. The export is now exactly seven pages: portrait, landscape, landscape, then four portrait. It also stops asserting that the September 2 attendee email was sent, which had not been confirmed; that line now reads “Attendee communications configured for the September 2 session, with its registration list maintained in Maven.”</w:t>
            </w:r>
          </w:p>
        </w:tc>
      </w:tr>
      <w:tr>
        <w:trPr>
          <w:cantSplit w:val="true"/>
        </w:trPr>
        <w:tc>
          <w:tcPr>
            <w:tcW w:type="dxa" w:w="2736"/>
          </w:tcPr>
          <w:p>
            <w:r/>
            <w:r>
              <w:rPr>
                <w:b/>
                <w:sz w:val="19"/>
              </w:rPr>
              <w:t>QA report v2.0.6</w:t>
            </w:r>
          </w:p>
        </w:tc>
        <w:tc>
          <w:tcPr>
            <w:tcW w:type="dxa" w:w="6912"/>
          </w:tcPr>
          <w:p>
            <w:r/>
            <w:r>
              <w:rPr>
                <w:sz w:val="19"/>
              </w:rPr>
              <w:t>The deck is identified as v2.0.3, the SOP-only claim is gone, the pricing rows assert the new rule, the gate row records the Acrobat pass, and the Visual QA section states that libreoffice-impress is installed and a real office-suite render was performed. Rows read 1 through 121 in document order. v2.0.6 removes three statements the previous report still carried: a source map naming a superseded PowerPoint build as current, together with the claim that the last revision had touched the SOP alone; row 34’s note asserting that both price figures were carried in the speaker notes, which was false and contradicted row 35; and the statement that the SOP page count was deliberately left unpinned. The map now reads PowerPoint v2.0.3, workbook v2.0.1, SOP v2.0.6, Architecture v1.1 read-only. Row 34 tests the slide faces only, row 35 tests the notes, and row 72 names each current artifact explicitly. The SOP-render assertions now require the actual seven-page v2.0.6 LibreOffice export, and a new assertion re-exports the delivered .docx and compares it page by page against the shipped preview.</w:t>
            </w:r>
          </w:p>
        </w:tc>
      </w:tr>
      <w:tr>
        <w:trPr>
          <w:cantSplit w:val="true"/>
        </w:trPr>
        <w:tc>
          <w:tcPr>
            <w:tcW w:type="dxa" w:w="2736"/>
          </w:tcPr>
          <w:p>
            <w:r/>
            <w:r>
              <w:rPr>
                <w:b/>
                <w:sz w:val="19"/>
              </w:rPr>
              <w:t>Workbook</w:t>
            </w:r>
          </w:p>
        </w:tc>
        <w:tc>
          <w:tcPr>
            <w:tcW w:type="dxa" w:w="6912"/>
          </w:tcPr>
          <w:p>
            <w:r/>
            <w:r>
              <w:rPr>
                <w:sz w:val="19"/>
              </w:rPr>
              <w:t>UNTOUCHED at v2.0.1 and byte-identical. Not regenerated. The owner-run Adobe Acrobat Reader behaviour test PASSED on August 21, 2026 and remains valid, because the file it was run against has not changed.</w:t>
            </w:r>
          </w:p>
        </w:tc>
      </w:tr>
    </w:tbl>
    <w:p>
      <w:pPr>
        <w:spacing w:after="80"/>
      </w:pPr>
    </w:p>
    <w:p>
      <w:pPr>
        <w:spacing w:before="120" w:after="120" w:line="40" w:lineRule="exact"/>
        <w:pBdr>
          <w:bottom w:val="single" w:sz="6" w:space="1" w:color="B8C5D9"/>
        </w:pBdr>
      </w:pPr>
    </w:p>
    <w:p>
      <w:pPr>
        <w:spacing w:before="320" w:after="160"/>
      </w:pPr>
      <w:r>
        <w:rPr>
          <w:b/>
          <w:color w:val="0F2347"/>
          <w:sz w:val="32"/>
        </w:rPr>
        <w:t>Validation</w:t>
      </w:r>
    </w:p>
    <w:p>
      <w:pPr>
        <w:pStyle w:val="ListBullet"/>
        <w:spacing w:after="60"/>
      </w:pPr>
      <w:r>
        <w:rPr>
          <w:color w:val="000000"/>
          <w:sz w:val="19"/>
        </w:rPr>
        <w:t>Both decks exported through LibreOffice Impress and every changed slide inspected. September 2 exports 15 pages, September 16 exports 26 — hidden slides excluded in both, as expected.</w:t>
      </w:r>
    </w:p>
    <w:p>
      <w:pPr>
        <w:pStyle w:val="ListBullet"/>
        <w:spacing w:after="60"/>
      </w:pPr>
      <w:r>
        <w:rPr>
          <w:color w:val="000000"/>
          <w:sz w:val="19"/>
        </w:rPr>
        <w:t>67 of 67 CTA checks pass, including a banned-string sweep over every slide face AND every speaker note for September 17, the former price, the participant cap, the retired enrollment CTA, the old Maven workshop URL and the retired newsletter CTA. Twenty-one of those 67 assert on the corrected documentation itself — this change log included — so the documentation is under test rather than merely describing the work.</w:t>
      </w:r>
    </w:p>
    <w:p>
      <w:pPr>
        <w:pStyle w:val="ListBullet"/>
        <w:spacing w:after="60"/>
      </w:pPr>
      <w:r>
        <w:rPr>
          <w:color w:val="000000"/>
          <w:sz w:val="19"/>
        </w:rPr>
        <w:t>121 of 121 September 16 cross-document checks pass, and all 13 SOP acceptance tests pass against a real LibreOffice Writer export.</w:t>
      </w:r>
    </w:p>
    <w:p>
      <w:pPr>
        <w:pStyle w:val="ListBullet"/>
        <w:spacing w:after="60"/>
      </w:pPr>
      <w:r>
        <w:rPr>
          <w:color w:val="000000"/>
          <w:sz w:val="19"/>
        </w:rPr>
        <w:t>Both QR codes were decoded from the rendered PNG and match their target URLs exactly.</w:t>
      </w:r>
    </w:p>
    <w:p>
      <w:pPr>
        <w:pStyle w:val="ListBullet"/>
        <w:spacing w:after="60"/>
      </w:pPr>
      <w:r>
        <w:rPr>
          <w:color w:val="000000"/>
          <w:sz w:val="19"/>
        </w:rPr>
        <w:t>Slide overflow test passes on the September 16 deck with no collision.</w:t>
      </w:r>
    </w:p>
    <w:p>
      <w:pPr>
        <w:spacing w:after="160"/>
      </w:pPr>
      <w:r>
        <w:rPr>
          <w:b w:val="0"/>
          <w:i/>
          <w:color w:val="555555"/>
          <w:sz w:val="18"/>
        </w:rPr>
        <w:t>TWO THINGS FOUND AND FIXED DURING VALIDATION, worth recording because neither was visible on a slide face: the orphaned hyperlink relationships described above, and run-level hyperlinks on the September 2 CTAs rendering as underlined link-blue because the theme hyperlink colour overrides an explicit run colour. The links are now attached to the shapes, which keeps brand colour and stays clickable.</w:t>
      </w:r>
    </w:p>
    <w:p>
      <w:pPr>
        <w:spacing w:before="120" w:after="120" w:line="40" w:lineRule="exact"/>
        <w:pBdr>
          <w:bottom w:val="single" w:sz="6" w:space="1" w:color="B8C5D9"/>
        </w:pBdr>
      </w:pPr>
    </w:p>
    <w:p>
      <w:pPr>
        <w:spacing w:before="320" w:after="160"/>
      </w:pPr>
      <w:r>
        <w:rPr>
          <w:b/>
          <w:color w:val="0F2347"/>
          <w:sz w:val="32"/>
        </w:rPr>
        <w:t>Files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2736"/>
            <w:shd w:val="clear" w:fill="0F2347"/>
          </w:tcPr>
          <w:p>
            <w:r/>
            <w:r>
              <w:rPr>
                <w:b/>
                <w:color w:val="FFFFFF"/>
                <w:sz w:val="19"/>
              </w:rPr>
              <w:t>Item</w:t>
            </w:r>
          </w:p>
        </w:tc>
        <w:tc>
          <w:tcPr>
            <w:tcW w:type="dxa" w:w="6912"/>
            <w:shd w:val="clear" w:fill="0F2347"/>
          </w:tcPr>
          <w:p>
            <w:r/>
            <w:r>
              <w:rPr>
                <w:b/>
                <w:color w:val="FFFFFF"/>
                <w:sz w:val="19"/>
              </w:rPr>
              <w:t>Detail</w:t>
            </w:r>
          </w:p>
        </w:tc>
      </w:tr>
      <w:tr>
        <w:trPr>
          <w:cantSplit w:val="true"/>
        </w:trPr>
        <w:tc>
          <w:tcPr>
            <w:tcW w:type="dxa" w:w="2736"/>
          </w:tcPr>
          <w:p>
            <w:r/>
            <w:r>
              <w:rPr>
                <w:b/>
                <w:sz w:val="19"/>
              </w:rPr>
              <w:t>Sept 2 deck v3.3.8</w:t>
            </w:r>
          </w:p>
        </w:tc>
        <w:tc>
          <w:tcPr>
            <w:tcW w:type="dxa" w:w="6912"/>
          </w:tcPr>
          <w:p>
            <w:r/>
            <w:r>
              <w:rPr>
                <w:sz w:val="19"/>
              </w:rPr>
              <w:t>SHA-256 9a7549263294534fa219c98de2c769d95ad07faed60816c390b46aef393a43fc</w:t>
            </w:r>
          </w:p>
        </w:tc>
      </w:tr>
      <w:tr>
        <w:trPr>
          <w:cantSplit w:val="true"/>
        </w:trPr>
        <w:tc>
          <w:tcPr>
            <w:tcW w:type="dxa" w:w="2736"/>
          </w:tcPr>
          <w:p>
            <w:r/>
            <w:r>
              <w:rPr>
                <w:b/>
                <w:sz w:val="19"/>
              </w:rPr>
              <w:t>Sept 16 deck v2.0.3 — unchanged from this delivery</w:t>
            </w:r>
          </w:p>
        </w:tc>
        <w:tc>
          <w:tcPr>
            <w:tcW w:type="dxa" w:w="6912"/>
          </w:tcPr>
          <w:p>
            <w:r/>
            <w:r>
              <w:rPr>
                <w:sz w:val="19"/>
              </w:rPr>
              <w:t>SHA-256 f8145183be813d54655ad4e0439454c59ad5554b090858947fdafdaad54c84f8</w:t>
            </w:r>
          </w:p>
        </w:tc>
      </w:tr>
      <w:tr>
        <w:trPr>
          <w:cantSplit w:val="true"/>
        </w:trPr>
        <w:tc>
          <w:tcPr>
            <w:tcW w:type="dxa" w:w="2736"/>
          </w:tcPr>
          <w:p>
            <w:r/>
            <w:r>
              <w:rPr>
                <w:b/>
                <w:sz w:val="19"/>
              </w:rPr>
              <w:t>Workbook v2.0.1 — unchanged</w:t>
            </w:r>
          </w:p>
        </w:tc>
        <w:tc>
          <w:tcPr>
            <w:tcW w:type="dxa" w:w="6912"/>
          </w:tcPr>
          <w:p>
            <w:r/>
            <w:r>
              <w:rPr>
                <w:sz w:val="19"/>
              </w:rPr>
              <w:t>SHA-256 2bd2912846a679837e8e6bfb4aadff2bb07ee5959d35502ca1c5b5c728efa3ee</w:t>
            </w:r>
          </w:p>
        </w:tc>
      </w:tr>
      <w:tr>
        <w:trPr>
          <w:cantSplit w:val="true"/>
        </w:trPr>
        <w:tc>
          <w:tcPr>
            <w:tcW w:type="dxa" w:w="2736"/>
          </w:tcPr>
          <w:p>
            <w:r/>
            <w:r>
              <w:rPr>
                <w:b/>
                <w:sz w:val="19"/>
              </w:rPr>
              <w:t>SOP v2.0.6</w:t>
            </w:r>
          </w:p>
        </w:tc>
        <w:tc>
          <w:tcPr>
            <w:tcW w:type="dxa" w:w="6912"/>
          </w:tcPr>
          <w:p>
            <w:r/>
            <w:r>
              <w:rPr>
                <w:sz w:val="19"/>
              </w:rPr>
              <w:t>SHA-256 795b0cea8dccd4167229f162a551234e048c4304d454661bed38efeb4c425f87</w:t>
            </w:r>
          </w:p>
        </w:tc>
      </w:tr>
      <w:tr>
        <w:trPr>
          <w:cantSplit w:val="true"/>
        </w:trPr>
        <w:tc>
          <w:tcPr>
            <w:tcW w:type="dxa" w:w="2736"/>
          </w:tcPr>
          <w:p>
            <w:r/>
            <w:r>
              <w:rPr>
                <w:b/>
                <w:sz w:val="19"/>
              </w:rPr>
              <w:t>QA report v2.0.6</w:t>
            </w:r>
          </w:p>
        </w:tc>
        <w:tc>
          <w:tcPr>
            <w:tcW w:type="dxa" w:w="6912"/>
          </w:tcPr>
          <w:p>
            <w:r/>
            <w:r>
              <w:rPr>
                <w:sz w:val="19"/>
              </w:rPr>
              <w:t>SHA-256 c9ad75435d8c22cea103e6cf4d9e0428c5e66aba499987a12929baf94c111856</w:t>
            </w:r>
          </w:p>
        </w:tc>
      </w:tr>
      <w:tr>
        <w:trPr>
          <w:cantSplit w:val="true"/>
        </w:trPr>
        <w:tc>
          <w:tcPr>
            <w:tcW w:type="dxa" w:w="2736"/>
          </w:tcPr>
          <w:p>
            <w:r/>
            <w:r>
              <w:rPr>
                <w:b/>
                <w:sz w:val="19"/>
              </w:rPr>
              <w:t>Maven link</w:t>
            </w:r>
          </w:p>
        </w:tc>
        <w:tc>
          <w:tcPr>
            <w:tcW w:type="dxa" w:w="6912"/>
          </w:tcPr>
          <w:p>
            <w:r/>
            <w:r>
              <w:rPr>
                <w:sz w:val="19"/>
              </w:rPr>
              <w:t>https://maven.com/p/8b3c40/stay-or-leave-live-career-growth-assessment</w:t>
            </w:r>
          </w:p>
        </w:tc>
      </w:tr>
      <w:tr>
        <w:trPr>
          <w:cantSplit w:val="true"/>
        </w:trPr>
        <w:tc>
          <w:tcPr>
            <w:tcW w:type="dxa" w:w="2736"/>
          </w:tcPr>
          <w:p>
            <w:r/>
            <w:r>
              <w:rPr>
                <w:b/>
                <w:sz w:val="19"/>
              </w:rPr>
              <w:t>Field Kit purchase route</w:t>
            </w:r>
          </w:p>
        </w:tc>
        <w:tc>
          <w:tcPr>
            <w:tcW w:type="dxa" w:w="6912"/>
          </w:tcPr>
          <w:p>
            <w:r/>
            <w:r>
              <w:rPr>
                <w:sz w:val="19"/>
              </w:rPr>
              <w:t>https://temidayoafonja.gumroad.com/l/czmqp</w:t>
            </w:r>
          </w:p>
        </w:tc>
      </w:tr>
      <w:tr>
        <w:trPr>
          <w:cantSplit w:val="true"/>
        </w:trPr>
        <w:tc>
          <w:tcPr>
            <w:tcW w:type="dxa" w:w="2736"/>
          </w:tcPr>
          <w:p>
            <w:r/>
            <w:r>
              <w:rPr>
                <w:b/>
                <w:sz w:val="19"/>
              </w:rPr>
              <w:t>Field Kit visible route</w:t>
            </w:r>
          </w:p>
        </w:tc>
        <w:tc>
          <w:tcPr>
            <w:tcW w:type="dxa" w:w="6912"/>
          </w:tcPr>
          <w:p>
            <w:r/>
            <w:r>
              <w:rPr>
                <w:sz w:val="19"/>
              </w:rPr>
              <w:t>temidayoafonja.com/book</w:t>
            </w:r>
          </w:p>
        </w:tc>
      </w:tr>
    </w:tbl>
    <w:p>
      <w:pPr>
        <w:spacing w:after="80"/>
      </w:pPr>
    </w:p>
    <w:p>
      <w:pPr>
        <w:spacing w:before="120" w:after="120" w:line="40" w:lineRule="exact"/>
        <w:pBdr>
          <w:bottom w:val="single" w:sz="6" w:space="1" w:color="B8C5D9"/>
        </w:pBdr>
      </w:pPr>
    </w:p>
    <w:p>
      <w:pPr>
        <w:spacing w:before="320" w:after="160"/>
      </w:pPr>
      <w:r>
        <w:rPr>
          <w:b/>
          <w:color w:val="0F2347"/>
          <w:sz w:val="32"/>
        </w:rPr>
        <w:t>Gate status</w:t>
      </w:r>
    </w:p>
    <w:tbl>
      <w:tblPr>
        <w:tblW w:type="auto" w:w="0"/>
        <w:tblLayout w:type="fixed"/>
        <w:tblLook w:firstColumn="1" w:firstRow="1" w:lastColumn="0" w:lastRow="0" w:noHBand="0" w:noVBand="1" w:val="04A0"/>
      </w:tblPr>
      <w:tblGrid>
        <w:gridCol w:w="5040"/>
        <w:gridCol w:w="5040"/>
      </w:tblGrid>
      <w:tr>
        <w:trPr>
          <w:tblHeader w:val="true"/>
          <w:cantSplit w:val="true"/>
        </w:trPr>
        <w:tc>
          <w:tcPr>
            <w:tcW w:type="dxa" w:w="4896"/>
            <w:shd w:val="clear" w:fill="0F2347"/>
          </w:tcPr>
          <w:p>
            <w:r/>
            <w:r>
              <w:rPr>
                <w:b/>
                <w:color w:val="FFFFFF"/>
                <w:sz w:val="19"/>
              </w:rPr>
              <w:t>Gate</w:t>
            </w:r>
          </w:p>
        </w:tc>
        <w:tc>
          <w:tcPr>
            <w:tcW w:type="dxa" w:w="4752"/>
            <w:shd w:val="clear" w:fill="0F2347"/>
          </w:tcPr>
          <w:p>
            <w:r/>
            <w:r>
              <w:rPr>
                <w:b/>
                <w:color w:val="FFFFFF"/>
                <w:sz w:val="19"/>
              </w:rPr>
              <w:t>Status</w:t>
            </w:r>
          </w:p>
        </w:tc>
      </w:tr>
      <w:tr>
        <w:trPr>
          <w:cantSplit w:val="true"/>
        </w:trPr>
        <w:tc>
          <w:tcPr>
            <w:tcW w:type="dxa" w:w="4896"/>
          </w:tcPr>
          <w:p>
            <w:r/>
            <w:r>
              <w:rPr>
                <w:b/>
                <w:sz w:val="19"/>
              </w:rPr>
              <w:t>Rehearsal 1 — timed content</w:t>
            </w:r>
          </w:p>
        </w:tc>
        <w:tc>
          <w:tcPr>
            <w:tcW w:type="dxa" w:w="4752"/>
          </w:tcPr>
          <w:p>
            <w:r/>
            <w:r>
              <w:rPr>
                <w:sz w:val="19"/>
              </w:rPr>
              <w:t>OUTSTANDING</w:t>
            </w:r>
          </w:p>
        </w:tc>
      </w:tr>
      <w:tr>
        <w:trPr>
          <w:cantSplit w:val="true"/>
        </w:trPr>
        <w:tc>
          <w:tcPr>
            <w:tcW w:type="dxa" w:w="4896"/>
          </w:tcPr>
          <w:p>
            <w:r/>
            <w:r>
              <w:rPr>
                <w:b/>
                <w:sz w:val="19"/>
              </w:rPr>
              <w:t>Rehearsal 2 — production</w:t>
            </w:r>
          </w:p>
        </w:tc>
        <w:tc>
          <w:tcPr>
            <w:tcW w:type="dxa" w:w="4752"/>
          </w:tcPr>
          <w:p>
            <w:r/>
            <w:r>
              <w:rPr>
                <w:sz w:val="19"/>
              </w:rPr>
              <w:t>OUTSTANDING</w:t>
            </w:r>
          </w:p>
        </w:tc>
      </w:tr>
      <w:tr>
        <w:trPr>
          <w:cantSplit w:val="true"/>
        </w:trPr>
        <w:tc>
          <w:tcPr>
            <w:tcW w:type="dxa" w:w="4896"/>
          </w:tcPr>
          <w:p>
            <w:r/>
            <w:r>
              <w:rPr>
                <w:b/>
                <w:sz w:val="19"/>
              </w:rPr>
              <w:t>Workbook behaviour test, Adobe Acrobat Reader</w:t>
            </w:r>
          </w:p>
        </w:tc>
        <w:tc>
          <w:tcPr>
            <w:tcW w:type="dxa" w:w="4752"/>
          </w:tcPr>
          <w:p>
            <w:r/>
            <w:r>
              <w:rPr>
                <w:sz w:val="19"/>
              </w:rPr>
              <w:t>PASSED — owner-run, August 21, 2026</w:t>
            </w:r>
          </w:p>
        </w:tc>
      </w:tr>
    </w:tbl>
    <w:p>
      <w:pPr>
        <w:spacing w:after="80"/>
      </w:pPr>
    </w:p>
    <w:p>
      <w:pPr>
        <w:spacing w:after="160"/>
      </w:pPr>
      <w:r>
        <w:rPr>
          <w:b/>
          <w:i w:val="0"/>
          <w:color w:val="B00000"/>
          <w:sz w:val="19"/>
        </w:rPr>
        <w:t>ALL ARTIFACTS REMAIN CANDIDATE. Two gates remain, so nothing is promoted. v3.3.6, v3.3.7 and the v2.0.2 deck were not overwritten; all remain in place.</w:t>
      </w:r>
    </w:p>
    <w:p>
      <w:pPr>
        <w:spacing w:before="120" w:after="120" w:line="40" w:lineRule="exact"/>
        <w:pBdr>
          <w:bottom w:val="single" w:sz="6" w:space="1" w:color="B8C5D9"/>
        </w:pBdr>
      </w:pPr>
    </w:p>
    <w:p>
      <w:pPr>
        <w:spacing w:after="0"/>
      </w:pPr>
      <w:r>
        <w:rPr>
          <w:b w:val="0"/>
          <w:i/>
          <w:color w:val="555555"/>
          <w:sz w:val="16"/>
        </w:rPr>
        <w:t>CTA UPDATE — CHANGE LOG  ·  INTERNAL ONLY  ·  Revised Sunday, August 23, 2026 at 4:22 AM 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