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SOP — 60-Minute Edition</w:t>
            </w:r>
          </w:p>
          <w:p>
            <w:r>
              <w:rPr>
                <w:i/>
                <w:color w:val="E3D9C4"/>
                <w:sz w:val="22"/>
              </w:rPr>
              <w:t>Decide Whether to Stay or Leave Your Job  ·  v2.0.6 CANDIDATE  ·  Revised Sunday, August 23, 2026 at 4:21 AM CT</w:t>
            </w:r>
          </w:p>
        </w:tc>
      </w:tr>
    </w:tbl>
    <w:p>
      <w:pPr>
        <w:spacing w:after="80"/>
      </w:pPr>
    </w:p>
    <w:p>
      <w:pPr>
        <w:spacing w:after="160"/>
      </w:pPr>
      <w:r>
        <w:rPr>
          <w:b/>
          <w:i w:val="0"/>
          <w:color w:val="B00000"/>
          <w:sz w:val="21"/>
        </w:rPr>
        <w:t>PRODUCTION REVISION STAMP — Revised Sunday, August 23, 2026 at 4:21 AM CT</w:t>
      </w:r>
    </w:p>
    <w:p>
      <w:pPr>
        <w:spacing w:after="160"/>
      </w:pPr>
      <w:r>
        <w:rPr>
          <w:b/>
          <w:i w:val="0"/>
          <w:color w:val="000000"/>
          <w:sz w:val="19"/>
        </w:rPr>
        <w:t>Capability_Formation_Free_Flagship_SOP_Sept16_2026_60MIN_v2.0.6_CANDIDATE</w:t>
      </w:r>
    </w:p>
    <w:p>
      <w:pPr>
        <w:spacing w:after="160"/>
      </w:pPr>
      <w:r>
        <w:rPr>
          <w:b/>
          <w:color w:val="B00000"/>
          <w:sz w:val="20"/>
        </w:rPr>
        <w:t xml:space="preserve">CANDIDATE —  </w:t>
      </w:r>
      <w:r>
        <w:rPr>
          <w:color w:val="000000"/>
          <w:sz w:val="20"/>
        </w:rPr>
        <w:t>this SOP governs a product that has not yet been delivered in its 60-minute form. Promotion to FINAL requires all three of: Rehearsal 1 (timed content) passing, Rehearsal 2 (production) passing, and the workbook behaviour test passing in Adobe Acrobat Reader.</w:t>
      </w:r>
    </w:p>
    <w:p>
      <w:pPr>
        <w:spacing w:before="60" w:after="60" w:line="40" w:lineRule="exact"/>
        <w:pBdr>
          <w:bottom w:val="single" w:sz="6" w:space="1" w:color="B8C5D9"/>
        </w:pBdr>
      </w:pPr>
    </w:p>
    <w:p>
      <w:pPr>
        <w:spacing w:before="200" w:after="100"/>
      </w:pPr>
      <w:r>
        <w:rPr>
          <w:b/>
          <w:color w:val="0F2347"/>
          <w:sz w:val="32"/>
        </w:rPr>
        <w:t>1. Event identity and locked decisions</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Field</w:t>
            </w:r>
          </w:p>
        </w:tc>
        <w:tc>
          <w:tcPr>
            <w:tcW w:type="dxa" w:w="6480"/>
            <w:shd w:val="clear" w:fill="0F2347"/>
          </w:tcPr>
          <w:p>
            <w:r/>
            <w:r>
              <w:rPr>
                <w:b/>
                <w:color w:val="FFFFFF"/>
                <w:sz w:val="19"/>
              </w:rPr>
              <w:t>Value</w:t>
            </w:r>
          </w:p>
        </w:tc>
      </w:tr>
      <w:tr>
        <w:tc>
          <w:tcPr>
            <w:tcW w:type="dxa" w:w="3168"/>
          </w:tcPr>
          <w:p>
            <w:r/>
            <w:r>
              <w:rPr>
                <w:b/>
                <w:sz w:val="19"/>
              </w:rPr>
              <w:t>Public title</w:t>
            </w:r>
          </w:p>
        </w:tc>
        <w:tc>
          <w:tcPr>
            <w:tcW w:type="dxa" w:w="6480"/>
          </w:tcPr>
          <w:p>
            <w:r/>
            <w:r>
              <w:rPr>
                <w:sz w:val="19"/>
              </w:rPr>
              <w:t>Decide Whether to Stay or Leave Your Job</w:t>
            </w:r>
          </w:p>
        </w:tc>
      </w:tr>
      <w:tr>
        <w:tc>
          <w:tcPr>
            <w:tcW w:type="dxa" w:w="3168"/>
          </w:tcPr>
          <w:p>
            <w:r/>
            <w:r>
              <w:rPr>
                <w:b/>
                <w:sz w:val="19"/>
              </w:rPr>
              <w:t>Expanded descriptor</w:t>
            </w:r>
          </w:p>
        </w:tc>
        <w:tc>
          <w:tcPr>
            <w:tcW w:type="dxa" w:w="6480"/>
          </w:tcPr>
          <w:p>
            <w:r/>
            <w:r>
              <w:rPr>
                <w:sz w:val="19"/>
              </w:rPr>
              <w:t>A Live Career Growth Assessment</w:t>
            </w:r>
          </w:p>
        </w:tc>
      </w:tr>
      <w:tr>
        <w:tc>
          <w:tcPr>
            <w:tcW w:type="dxa" w:w="3168"/>
          </w:tcPr>
          <w:p>
            <w:r/>
            <w:r>
              <w:rPr>
                <w:b/>
                <w:sz w:val="19"/>
              </w:rPr>
              <w:t>Method</w:t>
            </w:r>
          </w:p>
        </w:tc>
        <w:tc>
          <w:tcPr>
            <w:tcW w:type="dxa" w:w="6480"/>
          </w:tcPr>
          <w:p>
            <w:r/>
            <w:r>
              <w:rPr>
                <w:sz w:val="19"/>
              </w:rPr>
              <w:t>The Capability Position Read</w:t>
            </w:r>
          </w:p>
        </w:tc>
      </w:tr>
      <w:tr>
        <w:tc>
          <w:tcPr>
            <w:tcW w:type="dxa" w:w="3168"/>
          </w:tcPr>
          <w:p>
            <w:r/>
            <w:r>
              <w:rPr>
                <w:b/>
                <w:sz w:val="19"/>
              </w:rPr>
              <w:t>Format descriptor</w:t>
            </w:r>
          </w:p>
        </w:tc>
        <w:tc>
          <w:tcPr>
            <w:tcW w:type="dxa" w:w="6480"/>
          </w:tcPr>
          <w:p>
            <w:r/>
            <w:r>
              <w:rPr>
                <w:sz w:val="19"/>
              </w:rPr>
              <w:t>FREE FLAGSHIP · 60 MINUTES</w:t>
            </w:r>
          </w:p>
        </w:tc>
      </w:tr>
      <w:tr>
        <w:tc>
          <w:tcPr>
            <w:tcW w:type="dxa" w:w="3168"/>
          </w:tcPr>
          <w:p>
            <w:r/>
            <w:r>
              <w:rPr>
                <w:b/>
                <w:sz w:val="19"/>
              </w:rPr>
              <w:t>Maven format</w:t>
            </w:r>
          </w:p>
        </w:tc>
        <w:tc>
          <w:tcPr>
            <w:tcW w:type="dxa" w:w="6480"/>
          </w:tcPr>
          <w:p>
            <w:r/>
            <w:r>
              <w:rPr>
                <w:sz w:val="19"/>
              </w:rPr>
              <w:t>Lightning Lesson. Never “Lightning Course.” Participant-facing language may also call it a free live guided assessment.</w:t>
            </w:r>
          </w:p>
        </w:tc>
      </w:tr>
      <w:tr>
        <w:tc>
          <w:tcPr>
            <w:tcW w:type="dxa" w:w="3168"/>
          </w:tcPr>
          <w:p>
            <w:r/>
            <w:r>
              <w:rPr>
                <w:b/>
                <w:sz w:val="19"/>
              </w:rPr>
              <w:t>Date</w:t>
            </w:r>
          </w:p>
        </w:tc>
        <w:tc>
          <w:tcPr>
            <w:tcW w:type="dxa" w:w="6480"/>
          </w:tcPr>
          <w:p>
            <w:r/>
            <w:r>
              <w:rPr>
                <w:sz w:val="19"/>
              </w:rPr>
              <w:t>Wednesday, September 16, 2026</w:t>
            </w:r>
          </w:p>
        </w:tc>
      </w:tr>
      <w:tr>
        <w:tc>
          <w:tcPr>
            <w:tcW w:type="dxa" w:w="3168"/>
          </w:tcPr>
          <w:p>
            <w:r/>
            <w:r>
              <w:rPr>
                <w:b/>
                <w:sz w:val="19"/>
              </w:rPr>
              <w:t>Time</w:t>
            </w:r>
          </w:p>
        </w:tc>
        <w:tc>
          <w:tcPr>
            <w:tcW w:type="dxa" w:w="6480"/>
          </w:tcPr>
          <w:p>
            <w:r/>
            <w:r>
              <w:rPr>
                <w:sz w:val="19"/>
              </w:rPr>
              <w:t>6:00–7:00 PM Central Time / America/Chicago</w:t>
            </w:r>
          </w:p>
        </w:tc>
      </w:tr>
      <w:tr>
        <w:tc>
          <w:tcPr>
            <w:tcW w:type="dxa" w:w="3168"/>
          </w:tcPr>
          <w:p>
            <w:r/>
            <w:r>
              <w:rPr>
                <w:b/>
                <w:sz w:val="19"/>
              </w:rPr>
              <w:t>Price</w:t>
            </w:r>
          </w:p>
        </w:tc>
        <w:tc>
          <w:tcPr>
            <w:tcW w:type="dxa" w:w="6480"/>
          </w:tcPr>
          <w:p>
            <w:r/>
            <w:r>
              <w:rPr>
                <w:sz w:val="19"/>
              </w:rPr>
              <w:t>$0. Free for this launch.</w:t>
            </w:r>
          </w:p>
        </w:tc>
      </w:tr>
      <w:tr>
        <w:tc>
          <w:tcPr>
            <w:tcW w:type="dxa" w:w="3168"/>
          </w:tcPr>
          <w:p>
            <w:r/>
            <w:r>
              <w:rPr>
                <w:b/>
                <w:sz w:val="19"/>
              </w:rPr>
              <w:t>Total duration</w:t>
            </w:r>
          </w:p>
        </w:tc>
        <w:tc>
          <w:tcPr>
            <w:tcW w:type="dxa" w:w="6480"/>
          </w:tcPr>
          <w:p>
            <w:r/>
            <w:r>
              <w:rPr>
                <w:sz w:val="19"/>
              </w:rPr>
              <w:t>60 minutes, hard stop. 50 minutes guided read + 10 minutes live-only Q&amp;A.</w:t>
            </w:r>
          </w:p>
        </w:tc>
      </w:tr>
      <w:tr>
        <w:tc>
          <w:tcPr>
            <w:tcW w:type="dxa" w:w="3168"/>
          </w:tcPr>
          <w:p>
            <w:r/>
            <w:r>
              <w:rPr>
                <w:b/>
                <w:sz w:val="19"/>
              </w:rPr>
              <w:t>What it does</w:t>
            </w:r>
          </w:p>
        </w:tc>
        <w:tc>
          <w:tcPr>
            <w:tcW w:type="dxa" w:w="6480"/>
          </w:tcPr>
          <w:p>
            <w:r/>
            <w:r>
              <w:rPr>
                <w:sz w:val="19"/>
              </w:rPr>
              <w:t>Helps participants read their current capability position.</w:t>
            </w:r>
          </w:p>
        </w:tc>
      </w:tr>
      <w:tr>
        <w:tc>
          <w:tcPr>
            <w:tcW w:type="dxa" w:w="3168"/>
          </w:tcPr>
          <w:p>
            <w:r/>
            <w:r>
              <w:rPr>
                <w:b/>
                <w:sz w:val="19"/>
              </w:rPr>
              <w:t>What it does not do</w:t>
            </w:r>
          </w:p>
        </w:tc>
        <w:tc>
          <w:tcPr>
            <w:tcW w:type="dxa" w:w="6480"/>
          </w:tcPr>
          <w:p>
            <w:r/>
            <w:r>
              <w:rPr>
                <w:sz w:val="19"/>
              </w:rPr>
              <w:t>It does not tell anyone whether to stay in or leave a job, and it is not legal, medical, financial, immigration or mental-health advice.</w:t>
            </w:r>
          </w:p>
        </w:tc>
      </w:tr>
    </w:tbl>
    <w:p>
      <w:pPr>
        <w:spacing w:after="80"/>
      </w:pPr>
    </w:p>
    <w:p>
      <w:pPr>
        <w:spacing w:after="160"/>
      </w:pPr>
      <w:r>
        <w:rPr>
          <w:b/>
          <w:i w:val="0"/>
          <w:color w:val="B00000"/>
          <w:sz w:val="19"/>
        </w:rPr>
        <w:t>The September 2 Lightning Lesson is a separate event with people already registered. It is unchanged and out of scope for this document.</w:t>
      </w:r>
    </w:p>
    <w:p>
      <w:pPr>
        <w:spacing w:after="160"/>
      </w:pPr>
      <w:r>
        <w:rPr>
          <w:b/>
          <w:i w:val="0"/>
          <w:color w:val="000000"/>
          <w:sz w:val="19"/>
        </w:rPr>
        <w:t>Use CT / Central Time / America/Chicago. Never write CST.</w:t>
      </w:r>
    </w:p>
    <w:p>
      <w:pPr>
        <w:sectPr>
          <w:pgSz w:w="12240" w:h="15840"/>
          <w:pgMar w:top="1008" w:right="1080" w:bottom="1008" w:left="1080" w:header="720" w:footer="720" w:gutter="0"/>
          <w:cols w:space="720"/>
          <w:docGrid w:linePitch="360"/>
        </w:sectPr>
      </w:pPr>
    </w:p>
    <w:p>
      <w:pPr>
        <w:spacing w:before="200" w:after="100"/>
      </w:pPr>
      <w:r>
        <w:rPr>
          <w:b/>
          <w:color w:val="0F2347"/>
          <w:sz w:val="32"/>
        </w:rPr>
        <w:t>2. Master reconciliation table</w:t>
      </w:r>
    </w:p>
    <w:p>
      <w:pPr>
        <w:spacing w:after="160"/>
      </w:pPr>
      <w:r>
        <w:rPr>
          <w:b/>
          <w:i w:val="0"/>
          <w:color w:val="000000"/>
          <w:sz w:val="21"/>
        </w:rPr>
        <w:t>This table is the operational source of truth; where any other document disagrees with it, the table governs. It runs across the two landscape pages that follow — seven timing rows here, the remaining six on the continuation page, which repeats the column header.</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0:00–2:00</w:t>
            </w:r>
          </w:p>
        </w:tc>
        <w:tc>
          <w:tcPr>
            <w:tcW w:type="dxa" w:w="2232"/>
          </w:tcPr>
          <w:p>
            <w:pPr>
              <w:spacing w:after="20"/>
            </w:pPr>
            <w:r/>
            <w:r>
              <w:rPr>
                <w:sz w:val="16"/>
              </w:rPr>
              <w:t>Welcome, purpose, recording disclosure and boundaries</w:t>
            </w:r>
          </w:p>
        </w:tc>
        <w:tc>
          <w:tcPr>
            <w:tcW w:type="dxa" w:w="648"/>
          </w:tcPr>
          <w:p>
            <w:pPr>
              <w:spacing w:after="20"/>
            </w:pPr>
            <w:r/>
            <w:r>
              <w:rPr>
                <w:sz w:val="16"/>
              </w:rPr>
              <w:t>1–3</w:t>
            </w:r>
          </w:p>
        </w:tc>
        <w:tc>
          <w:tcPr>
            <w:tcW w:type="dxa" w:w="518"/>
          </w:tcPr>
          <w:p>
            <w:pPr>
              <w:spacing w:after="20"/>
            </w:pPr>
            <w:r/>
            <w:r>
              <w:rPr>
                <w:sz w:val="16"/>
              </w:rPr>
              <w:t>1</w:t>
            </w:r>
          </w:p>
        </w:tc>
        <w:tc>
          <w:tcPr>
            <w:tcW w:type="dxa" w:w="4392"/>
          </w:tcPr>
          <w:p>
            <w:pPr>
              <w:spacing w:after="20"/>
            </w:pPr>
            <w:r/>
            <w:r>
              <w:rPr>
                <w:sz w:val="16"/>
              </w:rPr>
              <w:t>Welcome, name method and duration. Biography capped at two sentences. Deliver the recording and privacy disclosure.</w:t>
            </w:r>
          </w:p>
        </w:tc>
        <w:tc>
          <w:tcPr>
            <w:tcW w:type="dxa" w:w="4104"/>
          </w:tcPr>
          <w:p>
            <w:pPr>
              <w:spacing w:after="20"/>
            </w:pPr>
            <w:r/>
            <w:r>
              <w:rPr>
                <w:sz w:val="16"/>
              </w:rPr>
              <w:t>Open the workbook at page 1.</w:t>
            </w:r>
          </w:p>
        </w:tc>
        <w:tc>
          <w:tcPr>
            <w:tcW w:type="dxa" w:w="1354"/>
          </w:tcPr>
          <w:p>
            <w:pPr>
              <w:spacing w:after="20"/>
            </w:pPr>
            <w:r/>
            <w:r>
              <w:rPr>
                <w:b/>
                <w:sz w:val="16"/>
              </w:rPr>
              <w:t>RECORDING ON — start on slide 1</w:t>
            </w:r>
          </w:p>
        </w:tc>
      </w:tr>
      <w:tr>
        <w:trPr>
          <w:cantSplit w:val="true"/>
        </w:trPr>
        <w:tc>
          <w:tcPr>
            <w:tcW w:type="dxa" w:w="1152"/>
          </w:tcPr>
          <w:p>
            <w:pPr>
              <w:spacing w:after="20"/>
            </w:pPr>
            <w:r/>
            <w:r>
              <w:rPr>
                <w:b/>
                <w:sz w:val="16"/>
              </w:rPr>
              <w:t>2:00–5:00</w:t>
            </w:r>
          </w:p>
        </w:tc>
        <w:tc>
          <w:tcPr>
            <w:tcW w:type="dxa" w:w="2232"/>
          </w:tcPr>
          <w:p>
            <w:pPr>
              <w:spacing w:after="20"/>
            </w:pPr>
            <w:r/>
            <w:r>
              <w:rPr>
                <w:sz w:val="16"/>
              </w:rPr>
              <w:t>Density and Optionality</w:t>
            </w:r>
          </w:p>
        </w:tc>
        <w:tc>
          <w:tcPr>
            <w:tcW w:type="dxa" w:w="648"/>
          </w:tcPr>
          <w:p>
            <w:pPr>
              <w:spacing w:after="20"/>
            </w:pPr>
            <w:r/>
            <w:r>
              <w:rPr>
                <w:sz w:val="16"/>
              </w:rPr>
              <w:t>4–5</w:t>
            </w:r>
          </w:p>
        </w:tc>
        <w:tc>
          <w:tcPr>
            <w:tcW w:type="dxa" w:w="518"/>
          </w:tcPr>
          <w:p>
            <w:pPr>
              <w:spacing w:after="20"/>
            </w:pPr>
            <w:r/>
            <w:r>
              <w:rPr>
                <w:sz w:val="16"/>
              </w:rPr>
              <w:t>1</w:t>
            </w:r>
          </w:p>
        </w:tc>
        <w:tc>
          <w:tcPr>
            <w:tcW w:type="dxa" w:w="4392"/>
          </w:tcPr>
          <w:p>
            <w:pPr>
              <w:spacing w:after="20"/>
            </w:pPr>
            <w:r/>
            <w:r>
              <w:rPr>
                <w:sz w:val="16"/>
              </w:rPr>
              <w:t>Define each axis and give the one correction that matters. No questions taken.</w:t>
            </w:r>
          </w:p>
        </w:tc>
        <w:tc>
          <w:tcPr>
            <w:tcW w:type="dxa" w:w="4104"/>
          </w:tcPr>
          <w:p>
            <w:pPr>
              <w:spacing w:after="20"/>
            </w:pPr>
            <w:r/>
            <w:r>
              <w:rPr>
                <w:sz w:val="16"/>
              </w:rPr>
              <w:t>Listen. Nothing written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5:00–12:00</w:t>
            </w:r>
          </w:p>
        </w:tc>
        <w:tc>
          <w:tcPr>
            <w:tcW w:type="dxa" w:w="2232"/>
          </w:tcPr>
          <w:p>
            <w:pPr>
              <w:spacing w:after="20"/>
            </w:pPr>
            <w:r/>
            <w:r>
              <w:rPr>
                <w:sz w:val="16"/>
              </w:rPr>
              <w:t>Initial read of all 12 statements and totals</w:t>
            </w:r>
          </w:p>
        </w:tc>
        <w:tc>
          <w:tcPr>
            <w:tcW w:type="dxa" w:w="648"/>
          </w:tcPr>
          <w:p>
            <w:pPr>
              <w:spacing w:after="20"/>
            </w:pPr>
            <w:r/>
            <w:r>
              <w:rPr>
                <w:sz w:val="16"/>
              </w:rPr>
              <w:t>6–11</w:t>
            </w:r>
          </w:p>
        </w:tc>
        <w:tc>
          <w:tcPr>
            <w:tcW w:type="dxa" w:w="518"/>
          </w:tcPr>
          <w:p>
            <w:pPr>
              <w:spacing w:after="20"/>
            </w:pPr>
            <w:r/>
            <w:r>
              <w:rPr>
                <w:sz w:val="16"/>
              </w:rPr>
              <w:t>2–3</w:t>
            </w:r>
          </w:p>
        </w:tc>
        <w:tc>
          <w:tcPr>
            <w:tcW w:type="dxa" w:w="4392"/>
          </w:tcPr>
          <w:p>
            <w:pPr>
              <w:spacing w:after="20"/>
            </w:pPr>
            <w:r/>
            <w:r>
              <w:rPr>
                <w:sz w:val="16"/>
              </w:rPr>
              <w:t>Read each statement once, then stay silent. Announce each block. Add both totals.</w:t>
            </w:r>
          </w:p>
        </w:tc>
        <w:tc>
          <w:tcPr>
            <w:tcW w:type="dxa" w:w="4104"/>
          </w:tcPr>
          <w:p>
            <w:pPr>
              <w:spacing w:after="20"/>
            </w:pPr>
            <w:r/>
            <w:r>
              <w:rPr>
                <w:sz w:val="16"/>
              </w:rPr>
              <w:t>Score 1–12 privately. Add both totals. No evidence lines yet.</w:t>
            </w:r>
          </w:p>
        </w:tc>
        <w:tc>
          <w:tcPr>
            <w:tcW w:type="dxa" w:w="1354"/>
          </w:tcPr>
          <w:p>
            <w:pPr>
              <w:spacing w:after="20"/>
            </w:pPr>
            <w:r/>
            <w:r>
              <w:rPr>
                <w:b/>
                <w:sz w:val="16"/>
              </w:rPr>
              <w:t>RECORDING ON</w:t>
            </w:r>
          </w:p>
        </w:tc>
      </w:tr>
      <w:tr>
        <w:trPr>
          <w:cantSplit w:val="true"/>
        </w:trPr>
        <w:tc>
          <w:tcPr>
            <w:tcW w:type="dxa" w:w="1152"/>
          </w:tcPr>
          <w:p>
            <w:pPr>
              <w:spacing w:after="20"/>
            </w:pPr>
            <w:r/>
            <w:r>
              <w:rPr>
                <w:b/>
                <w:sz w:val="16"/>
              </w:rPr>
              <w:t>12:00–14:00</w:t>
            </w:r>
          </w:p>
        </w:tc>
        <w:tc>
          <w:tcPr>
            <w:tcW w:type="dxa" w:w="2232"/>
          </w:tcPr>
          <w:p>
            <w:pPr>
              <w:spacing w:after="20"/>
            </w:pPr>
            <w:r/>
            <w:r>
              <w:rPr>
                <w:sz w:val="16"/>
              </w:rPr>
              <w:t>First provisional position</w:t>
            </w:r>
          </w:p>
        </w:tc>
        <w:tc>
          <w:tcPr>
            <w:tcW w:type="dxa" w:w="648"/>
          </w:tcPr>
          <w:p>
            <w:pPr>
              <w:spacing w:after="20"/>
            </w:pPr>
            <w:r/>
            <w:r>
              <w:rPr>
                <w:sz w:val="16"/>
              </w:rPr>
              <w:t>12–13</w:t>
            </w:r>
          </w:p>
        </w:tc>
        <w:tc>
          <w:tcPr>
            <w:tcW w:type="dxa" w:w="518"/>
          </w:tcPr>
          <w:p>
            <w:pPr>
              <w:spacing w:after="20"/>
            </w:pPr>
            <w:r/>
            <w:r>
              <w:rPr>
                <w:sz w:val="16"/>
              </w:rPr>
              <w:t>3</w:t>
            </w:r>
          </w:p>
        </w:tc>
        <w:tc>
          <w:tcPr>
            <w:tcW w:type="dxa" w:w="4392"/>
          </w:tcPr>
          <w:p>
            <w:pPr>
              <w:spacing w:after="20"/>
            </w:pPr>
            <w:r/>
            <w:r>
              <w:rPr>
                <w:sz w:val="16"/>
              </w:rPr>
              <w:t>Name the four states. Say the 17–21 boundary override and state-is-not-identity out loud.</w:t>
            </w:r>
          </w:p>
        </w:tc>
        <w:tc>
          <w:tcPr>
            <w:tcW w:type="dxa" w:w="4104"/>
          </w:tcPr>
          <w:p>
            <w:pPr>
              <w:spacing w:after="20"/>
            </w:pPr>
            <w:r/>
            <w:r>
              <w:rPr>
                <w:sz w:val="16"/>
              </w:rPr>
              <w:t>Cross the two totals. Mark a square or boundary. Rate confidence 1–5.</w:t>
            </w:r>
          </w:p>
        </w:tc>
        <w:tc>
          <w:tcPr>
            <w:tcW w:type="dxa" w:w="1354"/>
          </w:tcPr>
          <w:p>
            <w:pPr>
              <w:spacing w:after="20"/>
            </w:pPr>
            <w:r/>
            <w:r>
              <w:rPr>
                <w:b/>
                <w:sz w:val="16"/>
              </w:rPr>
              <w:t>RECORDING ON</w:t>
            </w:r>
          </w:p>
        </w:tc>
      </w:tr>
      <w:tr>
        <w:trPr>
          <w:cantSplit w:val="true"/>
        </w:trPr>
        <w:tc>
          <w:tcPr>
            <w:tcW w:type="dxa" w:w="1152"/>
          </w:tcPr>
          <w:p>
            <w:pPr>
              <w:spacing w:after="20"/>
            </w:pPr>
            <w:r/>
            <w:r>
              <w:rPr>
                <w:b/>
                <w:sz w:val="16"/>
              </w:rPr>
              <w:t>14:00–19:00</w:t>
            </w:r>
          </w:p>
        </w:tc>
        <w:tc>
          <w:tcPr>
            <w:tcW w:type="dxa" w:w="2232"/>
          </w:tcPr>
          <w:p>
            <w:pPr>
              <w:spacing w:after="20"/>
            </w:pPr>
            <w:r/>
            <w:r>
              <w:rPr>
                <w:sz w:val="16"/>
              </w:rPr>
              <w:t>Evidence protocol and the three misreadings</w:t>
            </w:r>
          </w:p>
        </w:tc>
        <w:tc>
          <w:tcPr>
            <w:tcW w:type="dxa" w:w="648"/>
          </w:tcPr>
          <w:p>
            <w:pPr>
              <w:spacing w:after="20"/>
            </w:pPr>
            <w:r/>
            <w:r>
              <w:rPr>
                <w:sz w:val="16"/>
              </w:rPr>
              <w:t>14–15</w:t>
            </w:r>
          </w:p>
        </w:tc>
        <w:tc>
          <w:tcPr>
            <w:tcW w:type="dxa" w:w="518"/>
          </w:tcPr>
          <w:p>
            <w:pPr>
              <w:spacing w:after="20"/>
            </w:pPr>
            <w:r/>
            <w:r>
              <w:rPr>
                <w:sz w:val="16"/>
              </w:rPr>
              <w:t>4</w:t>
            </w:r>
          </w:p>
        </w:tc>
        <w:tc>
          <w:tcPr>
            <w:tcW w:type="dxa" w:w="4392"/>
          </w:tcPr>
          <w:p>
            <w:pPr>
              <w:spacing w:after="20"/>
            </w:pPr>
            <w:r/>
            <w:r>
              <w:rPr>
                <w:sz w:val="16"/>
              </w:rPr>
              <w:t>Teach the protocol, then all three misreadings on one slide, sixty seconds each.</w:t>
            </w:r>
          </w:p>
        </w:tc>
        <w:tc>
          <w:tcPr>
            <w:tcW w:type="dxa" w:w="4104"/>
          </w:tcPr>
          <w:p>
            <w:pPr>
              <w:spacing w:after="20"/>
            </w:pPr>
            <w:r/>
            <w:r>
              <w:rPr>
                <w:sz w:val="16"/>
              </w:rPr>
              <w:t>Follow along. Run the three checks against the first numbers.</w:t>
            </w:r>
          </w:p>
        </w:tc>
        <w:tc>
          <w:tcPr>
            <w:tcW w:type="dxa" w:w="1354"/>
          </w:tcPr>
          <w:p>
            <w:pPr>
              <w:spacing w:after="20"/>
            </w:pPr>
            <w:r/>
            <w:r>
              <w:rPr>
                <w:b/>
                <w:sz w:val="16"/>
              </w:rPr>
              <w:t>RECORDING ON</w:t>
            </w:r>
          </w:p>
        </w:tc>
      </w:tr>
      <w:tr>
        <w:trPr>
          <w:cantSplit w:val="true"/>
        </w:trPr>
        <w:tc>
          <w:tcPr>
            <w:tcW w:type="dxa" w:w="1152"/>
          </w:tcPr>
          <w:p>
            <w:pPr>
              <w:spacing w:after="20"/>
            </w:pPr>
            <w:r/>
            <w:r>
              <w:rPr>
                <w:b/>
                <w:sz w:val="16"/>
              </w:rPr>
              <w:t>19:00–31:00</w:t>
            </w:r>
          </w:p>
        </w:tc>
        <w:tc>
          <w:tcPr>
            <w:tcW w:type="dxa" w:w="2232"/>
          </w:tcPr>
          <w:p>
            <w:pPr>
              <w:spacing w:after="20"/>
            </w:pPr>
            <w:r/>
            <w:r>
              <w:rPr>
                <w:sz w:val="16"/>
              </w:rPr>
              <w:t>Evidence-backed rescore of all 12 statements — PROTECTED</w:t>
            </w:r>
          </w:p>
        </w:tc>
        <w:tc>
          <w:tcPr>
            <w:tcW w:type="dxa" w:w="648"/>
          </w:tcPr>
          <w:p>
            <w:pPr>
              <w:spacing w:after="20"/>
            </w:pPr>
            <w:r/>
            <w:r>
              <w:rPr>
                <w:sz w:val="16"/>
              </w:rPr>
              <w:t>16</w:t>
            </w:r>
          </w:p>
        </w:tc>
        <w:tc>
          <w:tcPr>
            <w:tcW w:type="dxa" w:w="518"/>
          </w:tcPr>
          <w:p>
            <w:pPr>
              <w:spacing w:after="20"/>
            </w:pPr>
            <w:r/>
            <w:r>
              <w:rPr>
                <w:sz w:val="16"/>
              </w:rPr>
              <w:t>5–6</w:t>
            </w:r>
          </w:p>
        </w:tc>
        <w:tc>
          <w:tcPr>
            <w:tcW w:type="dxa" w:w="4392"/>
          </w:tcPr>
          <w:p>
            <w:pPr>
              <w:spacing w:after="20"/>
            </w:pPr>
            <w:r/>
            <w:r>
              <w:rPr>
                <w:sz w:val="16"/>
              </w:rPr>
              <w:t>Hold this slide. Stay silent. Two-minute warning at 29:00, thirty seconds at 30:30.</w:t>
            </w:r>
          </w:p>
        </w:tc>
        <w:tc>
          <w:tcPr>
            <w:tcW w:type="dxa" w:w="4104"/>
          </w:tcPr>
          <w:p>
            <w:pPr>
              <w:spacing w:after="20"/>
            </w:pPr>
            <w:r/>
            <w:r>
              <w:rPr>
                <w:sz w:val="16"/>
              </w:rPr>
              <w:t>Rescore all twelve with a short evidence phrase under each.</w:t>
            </w:r>
          </w:p>
        </w:tc>
        <w:tc>
          <w:tcPr>
            <w:tcW w:type="dxa" w:w="1354"/>
          </w:tcPr>
          <w:p>
            <w:pPr>
              <w:spacing w:after="20"/>
            </w:pPr>
            <w:r/>
            <w:r>
              <w:rPr>
                <w:b/>
                <w:sz w:val="16"/>
              </w:rPr>
              <w:t>RECORDING ON</w:t>
            </w:r>
          </w:p>
        </w:tc>
      </w:tr>
      <w:tr>
        <w:trPr>
          <w:cantSplit w:val="true"/>
        </w:trPr>
        <w:tc>
          <w:tcPr>
            <w:tcW w:type="dxa" w:w="1152"/>
          </w:tcPr>
          <w:p>
            <w:pPr>
              <w:spacing w:after="20"/>
            </w:pPr>
            <w:r/>
            <w:r>
              <w:rPr>
                <w:b/>
                <w:sz w:val="16"/>
              </w:rPr>
              <w:t>31:00–35:00</w:t>
            </w:r>
          </w:p>
        </w:tc>
        <w:tc>
          <w:tcPr>
            <w:tcW w:type="dxa" w:w="2232"/>
          </w:tcPr>
          <w:p>
            <w:pPr>
              <w:spacing w:after="20"/>
            </w:pPr>
            <w:r/>
            <w:r>
              <w:rPr>
                <w:sz w:val="16"/>
              </w:rPr>
              <w:t>Corrected totals and corrected position</w:t>
            </w:r>
          </w:p>
        </w:tc>
        <w:tc>
          <w:tcPr>
            <w:tcW w:type="dxa" w:w="648"/>
          </w:tcPr>
          <w:p>
            <w:pPr>
              <w:spacing w:after="20"/>
            </w:pPr>
            <w:r/>
            <w:r>
              <w:rPr>
                <w:sz w:val="16"/>
              </w:rPr>
              <w:t>17–19</w:t>
            </w:r>
          </w:p>
        </w:tc>
        <w:tc>
          <w:tcPr>
            <w:tcW w:type="dxa" w:w="518"/>
          </w:tcPr>
          <w:p>
            <w:pPr>
              <w:spacing w:after="20"/>
            </w:pPr>
            <w:r/>
            <w:r>
              <w:rPr>
                <w:sz w:val="16"/>
              </w:rPr>
              <w:t>5–7</w:t>
            </w:r>
          </w:p>
        </w:tc>
        <w:tc>
          <w:tcPr>
            <w:tcW w:type="dxa" w:w="4392"/>
          </w:tcPr>
          <w:p>
            <w:pPr>
              <w:spacing w:after="20"/>
            </w:pPr>
            <w:r/>
            <w:r>
              <w:rPr>
                <w:sz w:val="16"/>
              </w:rPr>
              <w:t>Insist on the re-total. Teach the three sensitivity tiers. Restate the boundary override.</w:t>
            </w:r>
          </w:p>
        </w:tc>
        <w:tc>
          <w:tcPr>
            <w:tcW w:type="dxa" w:w="4104"/>
          </w:tcPr>
          <w:p>
            <w:pPr>
              <w:spacing w:after="20"/>
            </w:pPr>
            <w:r/>
            <w:r>
              <w:rPr>
                <w:sz w:val="16"/>
              </w:rPr>
              <w:t>Re-total both axes. Run sensitivity if 1–2 marked. Place, or mark boundary/incomplete. Rate confidence 1–5.</w:t>
            </w:r>
          </w:p>
        </w:tc>
        <w:tc>
          <w:tcPr>
            <w:tcW w:type="dxa" w:w="1354"/>
          </w:tcPr>
          <w:p>
            <w:pPr>
              <w:spacing w:after="20"/>
            </w:pPr>
            <w:r/>
            <w:r>
              <w:rPr>
                <w:b/>
                <w:sz w:val="16"/>
              </w:rPr>
              <w:t>RECORDING ON</w:t>
            </w:r>
          </w:p>
        </w:tc>
      </w:tr>
    </w:tbl>
    <w:p>
      <w:pPr>
        <w:spacing w:after="0"/>
      </w:pPr>
      <w:r>
        <w:br w:type="page"/>
      </w:r>
    </w:p>
    <w:p>
      <w:pPr>
        <w:spacing w:before="200" w:after="100"/>
      </w:pPr>
      <w:r>
        <w:rPr>
          <w:b/>
          <w:color w:val="0F2347"/>
          <w:sz w:val="32"/>
        </w:rPr>
        <w:t>Master reconciliation table — continued</w:t>
      </w:r>
    </w:p>
    <w:tbl>
      <w:tblPr>
        <w:tblStyle w:val="LightGrid-Accent1"/>
        <w:tblW w:type="auto" w:w="0"/>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1152"/>
            <w:shd w:val="clear" w:fill="0F2347"/>
          </w:tcPr>
          <w:p>
            <w:r/>
            <w:r>
              <w:rPr>
                <w:b/>
                <w:color w:val="FFFFFF"/>
                <w:sz w:val="16"/>
              </w:rPr>
              <w:t>Time</w:t>
            </w:r>
          </w:p>
        </w:tc>
        <w:tc>
          <w:tcPr>
            <w:tcW w:type="dxa" w:w="2232"/>
            <w:shd w:val="clear" w:fill="0F2347"/>
          </w:tcPr>
          <w:p>
            <w:r/>
            <w:r>
              <w:rPr>
                <w:b/>
                <w:color w:val="FFFFFF"/>
                <w:sz w:val="16"/>
              </w:rPr>
              <w:t>Block</w:t>
            </w:r>
          </w:p>
        </w:tc>
        <w:tc>
          <w:tcPr>
            <w:tcW w:type="dxa" w:w="648"/>
            <w:shd w:val="clear" w:fill="0F2347"/>
          </w:tcPr>
          <w:p>
            <w:r/>
            <w:r>
              <w:rPr>
                <w:b/>
                <w:color w:val="FFFFFF"/>
                <w:sz w:val="16"/>
              </w:rPr>
              <w:t>Slides</w:t>
            </w:r>
          </w:p>
        </w:tc>
        <w:tc>
          <w:tcPr>
            <w:tcW w:type="dxa" w:w="518"/>
            <w:shd w:val="clear" w:fill="0F2347"/>
          </w:tcPr>
          <w:p>
            <w:r/>
            <w:r>
              <w:rPr>
                <w:b/>
                <w:color w:val="FFFFFF"/>
                <w:sz w:val="16"/>
              </w:rPr>
              <w:t>WB</w:t>
            </w:r>
          </w:p>
        </w:tc>
        <w:tc>
          <w:tcPr>
            <w:tcW w:type="dxa" w:w="4392"/>
            <w:shd w:val="clear" w:fill="0F2347"/>
          </w:tcPr>
          <w:p>
            <w:r/>
            <w:r>
              <w:rPr>
                <w:b/>
                <w:color w:val="FFFFFF"/>
                <w:sz w:val="16"/>
              </w:rPr>
              <w:t>Facilitator action</w:t>
            </w:r>
          </w:p>
        </w:tc>
        <w:tc>
          <w:tcPr>
            <w:tcW w:type="dxa" w:w="4104"/>
            <w:shd w:val="clear" w:fill="0F2347"/>
          </w:tcPr>
          <w:p>
            <w:r/>
            <w:r>
              <w:rPr>
                <w:b/>
                <w:color w:val="FFFFFF"/>
                <w:sz w:val="16"/>
              </w:rPr>
              <w:t>Participant action</w:t>
            </w:r>
          </w:p>
        </w:tc>
        <w:tc>
          <w:tcPr>
            <w:tcW w:type="dxa" w:w="1354"/>
            <w:shd w:val="clear" w:fill="0F2347"/>
          </w:tcPr>
          <w:p>
            <w:r/>
            <w:r>
              <w:rPr>
                <w:b/>
                <w:color w:val="FFFFFF"/>
                <w:sz w:val="16"/>
              </w:rPr>
              <w:t>Recording</w:t>
            </w:r>
          </w:p>
        </w:tc>
      </w:tr>
      <w:tr>
        <w:trPr>
          <w:cantSplit w:val="true"/>
        </w:trPr>
        <w:tc>
          <w:tcPr>
            <w:tcW w:type="dxa" w:w="1152"/>
          </w:tcPr>
          <w:p>
            <w:pPr>
              <w:spacing w:after="20"/>
            </w:pPr>
            <w:r/>
            <w:r>
              <w:rPr>
                <w:b/>
                <w:sz w:val="16"/>
              </w:rPr>
              <w:t>35:00–38:00</w:t>
            </w:r>
          </w:p>
        </w:tc>
        <w:tc>
          <w:tcPr>
            <w:tcW w:type="dxa" w:w="2232"/>
          </w:tcPr>
          <w:p>
            <w:pPr>
              <w:spacing w:after="20"/>
            </w:pPr>
            <w:r/>
            <w:r>
              <w:rPr>
                <w:sz w:val="16"/>
              </w:rPr>
              <w:t>Four states and their immediate costs</w:t>
            </w:r>
          </w:p>
        </w:tc>
        <w:tc>
          <w:tcPr>
            <w:tcW w:type="dxa" w:w="648"/>
          </w:tcPr>
          <w:p>
            <w:pPr>
              <w:spacing w:after="20"/>
            </w:pPr>
            <w:r/>
            <w:r>
              <w:rPr>
                <w:sz w:val="16"/>
              </w:rPr>
              <w:t>20</w:t>
            </w:r>
          </w:p>
        </w:tc>
        <w:tc>
          <w:tcPr>
            <w:tcW w:type="dxa" w:w="518"/>
          </w:tcPr>
          <w:p>
            <w:pPr>
              <w:spacing w:after="20"/>
            </w:pPr>
            <w:r/>
            <w:r>
              <w:rPr>
                <w:sz w:val="16"/>
              </w:rPr>
              <w:t>—</w:t>
            </w:r>
          </w:p>
        </w:tc>
        <w:tc>
          <w:tcPr>
            <w:tcW w:type="dxa" w:w="4392"/>
          </w:tcPr>
          <w:p>
            <w:pPr>
              <w:spacing w:after="20"/>
            </w:pPr>
            <w:r/>
            <w:r>
              <w:rPr>
                <w:sz w:val="16"/>
              </w:rPr>
              <w:t>Forty-five seconds per state. Do not deepen any one square.</w:t>
            </w:r>
          </w:p>
        </w:tc>
        <w:tc>
          <w:tcPr>
            <w:tcW w:type="dxa" w:w="4104"/>
          </w:tcPr>
          <w:p>
            <w:pPr>
              <w:spacing w:after="20"/>
            </w:pPr>
            <w:r/>
            <w:r>
              <w:rPr>
                <w:sz w:val="16"/>
              </w:rPr>
              <w:t>Listen. Read your own square's cost.</w:t>
            </w:r>
          </w:p>
        </w:tc>
        <w:tc>
          <w:tcPr>
            <w:tcW w:type="dxa" w:w="1354"/>
          </w:tcPr>
          <w:p>
            <w:pPr>
              <w:spacing w:after="20"/>
            </w:pPr>
            <w:r/>
            <w:r>
              <w:rPr>
                <w:b/>
                <w:sz w:val="16"/>
              </w:rPr>
              <w:t>RECORDING ON</w:t>
            </w:r>
          </w:p>
        </w:tc>
      </w:tr>
      <w:tr>
        <w:trPr>
          <w:cantSplit w:val="true"/>
        </w:trPr>
        <w:tc>
          <w:tcPr>
            <w:tcW w:type="dxa" w:w="1152"/>
          </w:tcPr>
          <w:p>
            <w:pPr>
              <w:spacing w:after="20"/>
            </w:pPr>
            <w:r/>
            <w:r>
              <w:rPr>
                <w:b/>
                <w:sz w:val="16"/>
              </w:rPr>
              <w:t>38:00–41:00</w:t>
            </w:r>
          </w:p>
        </w:tc>
        <w:tc>
          <w:tcPr>
            <w:tcW w:type="dxa" w:w="2232"/>
          </w:tcPr>
          <w:p>
            <w:pPr>
              <w:spacing w:after="20"/>
            </w:pPr>
            <w:r/>
            <w:r>
              <w:rPr>
                <w:sz w:val="16"/>
              </w:rPr>
              <w:t>Seven categories of move</w:t>
            </w:r>
          </w:p>
        </w:tc>
        <w:tc>
          <w:tcPr>
            <w:tcW w:type="dxa" w:w="648"/>
          </w:tcPr>
          <w:p>
            <w:pPr>
              <w:spacing w:after="20"/>
            </w:pPr>
            <w:r/>
            <w:r>
              <w:rPr>
                <w:sz w:val="16"/>
              </w:rPr>
              <w:t>21</w:t>
            </w:r>
          </w:p>
        </w:tc>
        <w:tc>
          <w:tcPr>
            <w:tcW w:type="dxa" w:w="518"/>
          </w:tcPr>
          <w:p>
            <w:pPr>
              <w:spacing w:after="20"/>
            </w:pPr>
            <w:r/>
            <w:r>
              <w:rPr>
                <w:sz w:val="16"/>
              </w:rPr>
              <w:t>8</w:t>
            </w:r>
          </w:p>
        </w:tc>
        <w:tc>
          <w:tcPr>
            <w:tcW w:type="dxa" w:w="4392"/>
          </w:tcPr>
          <w:p>
            <w:pPr>
              <w:spacing w:after="20"/>
            </w:pPr>
            <w:r/>
            <w:r>
              <w:rPr>
                <w:sz w:val="16"/>
              </w:rPr>
              <w:t>Read each category and its one-line reading. Say the no-square-prescribes rule.</w:t>
            </w:r>
          </w:p>
        </w:tc>
        <w:tc>
          <w:tcPr>
            <w:tcW w:type="dxa" w:w="4104"/>
          </w:tcPr>
          <w:p>
            <w:pPr>
              <w:spacing w:after="20"/>
            </w:pPr>
            <w:r/>
            <w:r>
              <w:rPr>
                <w:sz w:val="16"/>
              </w:rPr>
              <w:t>Identify the category the evidence supports testing.</w:t>
            </w:r>
          </w:p>
        </w:tc>
        <w:tc>
          <w:tcPr>
            <w:tcW w:type="dxa" w:w="1354"/>
          </w:tcPr>
          <w:p>
            <w:pPr>
              <w:spacing w:after="20"/>
            </w:pPr>
            <w:r/>
            <w:r>
              <w:rPr>
                <w:b/>
                <w:sz w:val="16"/>
              </w:rPr>
              <w:t>RECORDING ON</w:t>
            </w:r>
          </w:p>
        </w:tc>
      </w:tr>
      <w:tr>
        <w:trPr>
          <w:cantSplit w:val="true"/>
        </w:trPr>
        <w:tc>
          <w:tcPr>
            <w:tcW w:type="dxa" w:w="1152"/>
          </w:tcPr>
          <w:p>
            <w:pPr>
              <w:spacing w:after="20"/>
            </w:pPr>
            <w:r/>
            <w:r>
              <w:rPr>
                <w:b/>
                <w:sz w:val="16"/>
              </w:rPr>
              <w:t>41:00–45:00</w:t>
            </w:r>
          </w:p>
        </w:tc>
        <w:tc>
          <w:tcPr>
            <w:tcW w:type="dxa" w:w="2232"/>
          </w:tcPr>
          <w:p>
            <w:pPr>
              <w:spacing w:after="20"/>
            </w:pPr>
            <w:r/>
            <w:r>
              <w:rPr>
                <w:sz w:val="16"/>
              </w:rPr>
              <w:t>Complete the Next-Move Note</w:t>
            </w:r>
          </w:p>
        </w:tc>
        <w:tc>
          <w:tcPr>
            <w:tcW w:type="dxa" w:w="648"/>
          </w:tcPr>
          <w:p>
            <w:pPr>
              <w:spacing w:after="20"/>
            </w:pPr>
            <w:r/>
            <w:r>
              <w:rPr>
                <w:sz w:val="16"/>
              </w:rPr>
              <w:t>22</w:t>
            </w:r>
          </w:p>
        </w:tc>
        <w:tc>
          <w:tcPr>
            <w:tcW w:type="dxa" w:w="518"/>
          </w:tcPr>
          <w:p>
            <w:pPr>
              <w:spacing w:after="20"/>
            </w:pPr>
            <w:r/>
            <w:r>
              <w:rPr>
                <w:sz w:val="16"/>
              </w:rPr>
              <w:t>8</w:t>
            </w:r>
          </w:p>
        </w:tc>
        <w:tc>
          <w:tcPr>
            <w:tcW w:type="dxa" w:w="4392"/>
          </w:tcPr>
          <w:p>
            <w:pPr>
              <w:spacing w:after="20"/>
            </w:pPr>
            <w:r/>
            <w:r>
              <w:rPr>
                <w:sz w:val="16"/>
              </w:rPr>
              <w:t>Read the three prompts once, then stop talking. Sixty-second warning at 44:00.</w:t>
            </w:r>
          </w:p>
        </w:tc>
        <w:tc>
          <w:tcPr>
            <w:tcW w:type="dxa" w:w="4104"/>
          </w:tcPr>
          <w:p>
            <w:pPr>
              <w:spacing w:after="20"/>
            </w:pPr>
            <w:r/>
            <w:r>
              <w:rPr>
                <w:sz w:val="16"/>
              </w:rPr>
              <w:t>Write the three lines.</w:t>
            </w:r>
          </w:p>
        </w:tc>
        <w:tc>
          <w:tcPr>
            <w:tcW w:type="dxa" w:w="1354"/>
          </w:tcPr>
          <w:p>
            <w:pPr>
              <w:spacing w:after="20"/>
            </w:pPr>
            <w:r/>
            <w:r>
              <w:rPr>
                <w:b/>
                <w:sz w:val="16"/>
              </w:rPr>
              <w:t>RECORDING ON</w:t>
            </w:r>
          </w:p>
        </w:tc>
      </w:tr>
      <w:tr>
        <w:trPr>
          <w:cantSplit w:val="true"/>
        </w:trPr>
        <w:tc>
          <w:tcPr>
            <w:tcW w:type="dxa" w:w="1152"/>
          </w:tcPr>
          <w:p>
            <w:pPr>
              <w:spacing w:after="20"/>
            </w:pPr>
            <w:r/>
            <w:r>
              <w:rPr>
                <w:b/>
                <w:sz w:val="16"/>
              </w:rPr>
              <w:t>45:00–48:00</w:t>
            </w:r>
          </w:p>
        </w:tc>
        <w:tc>
          <w:tcPr>
            <w:tcW w:type="dxa" w:w="2232"/>
          </w:tcPr>
          <w:p>
            <w:pPr>
              <w:spacing w:after="20"/>
            </w:pPr>
            <w:r/>
            <w:r>
              <w:rPr>
                <w:sz w:val="16"/>
              </w:rPr>
              <w:t>Field Kit, Private Read routes and evergreen close</w:t>
            </w:r>
          </w:p>
        </w:tc>
        <w:tc>
          <w:tcPr>
            <w:tcW w:type="dxa" w:w="648"/>
          </w:tcPr>
          <w:p>
            <w:pPr>
              <w:spacing w:after="20"/>
            </w:pPr>
            <w:r/>
            <w:r>
              <w:rPr>
                <w:sz w:val="16"/>
              </w:rPr>
              <w:t>23–25</w:t>
            </w:r>
          </w:p>
        </w:tc>
        <w:tc>
          <w:tcPr>
            <w:tcW w:type="dxa" w:w="518"/>
          </w:tcPr>
          <w:p>
            <w:pPr>
              <w:spacing w:after="20"/>
            </w:pPr>
            <w:r/>
            <w:r>
              <w:rPr>
                <w:sz w:val="16"/>
              </w:rPr>
              <w:t>8</w:t>
            </w:r>
          </w:p>
        </w:tc>
        <w:tc>
          <w:tcPr>
            <w:tcW w:type="dxa" w:w="4392"/>
          </w:tcPr>
          <w:p>
            <w:pPr>
              <w:spacing w:after="20"/>
            </w:pPr>
            <w:r/>
            <w:r>
              <w:rPr>
                <w:sz w:val="16"/>
              </w:rPr>
              <w:t>Three routes, then the two paid routes in sixty seconds, then the close. No pricing spoken.</w:t>
            </w:r>
          </w:p>
        </w:tc>
        <w:tc>
          <w:tcPr>
            <w:tcW w:type="dxa" w:w="4104"/>
          </w:tcPr>
          <w:p>
            <w:pPr>
              <w:spacing w:after="20"/>
            </w:pPr>
            <w:r/>
            <w:r>
              <w:rPr>
                <w:sz w:val="16"/>
              </w:rPr>
              <w:t>Choose a route, or none. Write a rescore date ninety days out.</w:t>
            </w:r>
          </w:p>
        </w:tc>
        <w:tc>
          <w:tcPr>
            <w:tcW w:type="dxa" w:w="1354"/>
          </w:tcPr>
          <w:p>
            <w:pPr>
              <w:spacing w:after="20"/>
            </w:pPr>
            <w:r/>
            <w:r>
              <w:rPr>
                <w:b/>
                <w:sz w:val="16"/>
              </w:rPr>
              <w:t>RECORDING ON</w:t>
            </w:r>
          </w:p>
        </w:tc>
      </w:tr>
      <w:tr>
        <w:trPr>
          <w:cantSplit w:val="true"/>
        </w:trPr>
        <w:tc>
          <w:tcPr>
            <w:tcW w:type="dxa" w:w="1152"/>
          </w:tcPr>
          <w:p>
            <w:pPr>
              <w:spacing w:after="20"/>
            </w:pPr>
            <w:r/>
            <w:r>
              <w:rPr>
                <w:b/>
                <w:sz w:val="16"/>
              </w:rPr>
              <w:t>48:00–50:00</w:t>
            </w:r>
          </w:p>
        </w:tc>
        <w:tc>
          <w:tcPr>
            <w:tcW w:type="dxa" w:w="2232"/>
          </w:tcPr>
          <w:p>
            <w:pPr>
              <w:spacing w:after="20"/>
            </w:pPr>
            <w:r/>
            <w:r>
              <w:rPr>
                <w:sz w:val="16"/>
              </w:rPr>
              <w:t>Facilitation buffer and recording stop</w:t>
            </w:r>
          </w:p>
        </w:tc>
        <w:tc>
          <w:tcPr>
            <w:tcW w:type="dxa" w:w="648"/>
          </w:tcPr>
          <w:p>
            <w:pPr>
              <w:spacing w:after="20"/>
            </w:pPr>
            <w:r/>
            <w:r>
              <w:rPr>
                <w:sz w:val="16"/>
              </w:rPr>
              <w:t>25</w:t>
            </w:r>
          </w:p>
        </w:tc>
        <w:tc>
          <w:tcPr>
            <w:tcW w:type="dxa" w:w="518"/>
          </w:tcPr>
          <w:p>
            <w:pPr>
              <w:spacing w:after="20"/>
            </w:pPr>
            <w:r/>
            <w:r>
              <w:rPr>
                <w:sz w:val="16"/>
              </w:rPr>
              <w:t>8</w:t>
            </w:r>
          </w:p>
        </w:tc>
        <w:tc>
          <w:tcPr>
            <w:tcW w:type="dxa" w:w="4392"/>
          </w:tcPr>
          <w:p>
            <w:pPr>
              <w:spacing w:after="20"/>
            </w:pPr>
            <w:r/>
            <w:r>
              <w:rPr>
                <w:sz w:val="16"/>
              </w:rPr>
              <w:t>Hold the close slide. Absorb any overrun. At 50:00 STOP OR PAUSE THE RECORDING and confirm on screen.</w:t>
            </w:r>
          </w:p>
        </w:tc>
        <w:tc>
          <w:tcPr>
            <w:tcW w:type="dxa" w:w="4104"/>
          </w:tcPr>
          <w:p>
            <w:pPr>
              <w:spacing w:after="20"/>
            </w:pPr>
            <w:r/>
            <w:r>
              <w:rPr>
                <w:sz w:val="16"/>
              </w:rPr>
              <w:t>Finish writing.</w:t>
            </w:r>
          </w:p>
        </w:tc>
        <w:tc>
          <w:tcPr>
            <w:tcW w:type="dxa" w:w="1354"/>
          </w:tcPr>
          <w:p>
            <w:pPr>
              <w:spacing w:after="20"/>
            </w:pPr>
            <w:r/>
            <w:r>
              <w:rPr>
                <w:b/>
                <w:sz w:val="16"/>
              </w:rPr>
              <w:t>RECORDING ON → STOPS AT 50:00</w:t>
            </w:r>
          </w:p>
        </w:tc>
      </w:tr>
      <w:tr>
        <w:trPr>
          <w:cantSplit w:val="true"/>
        </w:trPr>
        <w:tc>
          <w:tcPr>
            <w:tcW w:type="dxa" w:w="1152"/>
          </w:tcPr>
          <w:p>
            <w:pPr>
              <w:spacing w:after="20"/>
            </w:pPr>
            <w:r/>
            <w:r>
              <w:rPr>
                <w:b/>
                <w:sz w:val="16"/>
              </w:rPr>
              <w:t>50:00–60:00</w:t>
            </w:r>
          </w:p>
        </w:tc>
        <w:tc>
          <w:tcPr>
            <w:tcW w:type="dxa" w:w="2232"/>
          </w:tcPr>
          <w:p>
            <w:pPr>
              <w:spacing w:after="20"/>
            </w:pPr>
            <w:r/>
            <w:r>
              <w:rPr>
                <w:sz w:val="16"/>
              </w:rPr>
              <w:t>Live-only Q&amp;A, not recorded</w:t>
            </w:r>
          </w:p>
        </w:tc>
        <w:tc>
          <w:tcPr>
            <w:tcW w:type="dxa" w:w="648"/>
          </w:tcPr>
          <w:p>
            <w:pPr>
              <w:spacing w:after="20"/>
            </w:pPr>
            <w:r/>
            <w:r>
              <w:rPr>
                <w:sz w:val="16"/>
              </w:rPr>
              <w:t>26</w:t>
            </w:r>
          </w:p>
        </w:tc>
        <w:tc>
          <w:tcPr>
            <w:tcW w:type="dxa" w:w="518"/>
          </w:tcPr>
          <w:p>
            <w:pPr>
              <w:spacing w:after="20"/>
            </w:pPr>
            <w:r/>
            <w:r>
              <w:rPr>
                <w:sz w:val="16"/>
              </w:rPr>
              <w:t>—</w:t>
            </w:r>
          </w:p>
        </w:tc>
        <w:tc>
          <w:tcPr>
            <w:tcW w:type="dxa" w:w="4392"/>
          </w:tcPr>
          <w:p>
            <w:pPr>
              <w:spacing w:after="20"/>
            </w:pPr>
            <w:r/>
            <w:r>
              <w:rPr>
                <w:sz w:val="16"/>
              </w:rPr>
              <w:t>Confirm aloud that recording has stopped. Method questions only. Hard stop at 60:00.</w:t>
            </w:r>
          </w:p>
        </w:tc>
        <w:tc>
          <w:tcPr>
            <w:tcW w:type="dxa" w:w="4104"/>
          </w:tcPr>
          <w:p>
            <w:pPr>
              <w:spacing w:after="20"/>
            </w:pPr>
            <w:r/>
            <w:r>
              <w:rPr>
                <w:sz w:val="16"/>
              </w:rPr>
              <w:t>Ask method questions. No scores, states or employers disclosed.</w:t>
            </w:r>
          </w:p>
        </w:tc>
        <w:tc>
          <w:tcPr>
            <w:tcW w:type="dxa" w:w="1354"/>
          </w:tcPr>
          <w:p>
            <w:pPr>
              <w:spacing w:after="20"/>
            </w:pPr>
            <w:r/>
            <w:r>
              <w:rPr>
                <w:b/>
                <w:sz w:val="16"/>
              </w:rPr>
              <w:t>RECORDING OFF</w:t>
            </w:r>
          </w:p>
        </w:tc>
      </w:tr>
    </w:tbl>
    <w:p>
      <w:pPr>
        <w:spacing w:after="80"/>
      </w:pPr>
    </w:p>
    <w:p>
      <w:pPr>
        <w:sectPr>
          <w:pgSz w:w="15840" w:h="12240" w:orient="landscape"/>
          <w:pgMar w:top="720" w:right="720" w:bottom="720" w:left="720" w:header="720" w:footer="720" w:gutter="0"/>
          <w:cols w:space="720"/>
          <w:docGrid w:linePitch="360"/>
        </w:sectPr>
      </w:pPr>
    </w:p>
    <w:p>
      <w:pPr>
        <w:spacing w:after="160"/>
      </w:pPr>
      <w:r>
        <w:rPr>
          <w:b/>
          <w:i w:val="0"/>
          <w:color w:val="B00000"/>
          <w:sz w:val="19"/>
        </w:rPr>
        <w:t>The 19:00–31:00 evidence-backed rescore is PROTECTED. Never recover lost time by shortening it. Recover from 45:00–48:00 first, then the 48:00–50:00 buffer.</w:t>
      </w:r>
    </w:p>
    <w:p>
      <w:pPr>
        <w:spacing w:before="60" w:after="60" w:line="40" w:lineRule="exact"/>
        <w:pBdr>
          <w:bottom w:val="single" w:sz="6" w:space="1" w:color="B8C5D9"/>
        </w:pBdr>
      </w:pPr>
    </w:p>
    <w:p>
      <w:pPr>
        <w:spacing w:before="200" w:after="100"/>
      </w:pPr>
      <w:r>
        <w:rPr>
          <w:b/>
          <w:color w:val="0F2347"/>
          <w:sz w:val="32"/>
        </w:rPr>
        <w:t>3. Recording policy</w:t>
      </w:r>
    </w:p>
    <w:p>
      <w:pPr>
        <w:spacing w:after="160"/>
      </w:pPr>
      <w:r>
        <w:rPr>
          <w:b/>
          <w:i w:val="0"/>
          <w:color w:val="000000"/>
          <w:sz w:val="21"/>
        </w:rPr>
        <w:t>RECORD MINUTES 0–50 ONLY.</w:t>
      </w:r>
    </w:p>
    <w:p>
      <w:pPr>
        <w:pStyle w:val="ListBullet"/>
        <w:spacing w:after="60"/>
      </w:pPr>
      <w:r>
        <w:rPr>
          <w:color w:val="000000"/>
          <w:sz w:val="19"/>
        </w:rPr>
        <w:t>Start the recording on slide 1, the first evergreen teaching slide. The dated holding slide is shown BEFORE recording begins and is never recorded.</w:t>
      </w:r>
    </w:p>
    <w:p>
      <w:pPr>
        <w:pStyle w:val="ListBullet"/>
        <w:spacing w:after="60"/>
      </w:pPr>
      <w:r>
        <w:rPr>
          <w:color w:val="000000"/>
          <w:sz w:val="19"/>
        </w:rPr>
        <w:t>Deliver the recording and privacy disclosure within the first five minutes — it sits on slide 3 at minute 1:20.</w:t>
      </w:r>
    </w:p>
    <w:p>
      <w:pPr>
        <w:pStyle w:val="ListBullet"/>
        <w:spacing w:after="60"/>
      </w:pPr>
      <w:r>
        <w:rPr>
          <w:color w:val="000000"/>
          <w:sz w:val="19"/>
        </w:rPr>
        <w:t>At minute 50, stop or pause the recording BEFORE inviting participant questions, and look at the screen to verify it has actually stopped.</w:t>
      </w:r>
    </w:p>
    <w:p>
      <w:pPr>
        <w:pStyle w:val="ListBullet"/>
        <w:spacing w:after="60"/>
      </w:pPr>
      <w:r>
        <w:rPr>
          <w:color w:val="000000"/>
          <w:sz w:val="19"/>
        </w:rPr>
        <w:t>Say out loud that the recording has stopped, then advance to the Q&amp;A slide.</w:t>
      </w:r>
    </w:p>
    <w:p>
      <w:pPr>
        <w:pStyle w:val="ListBullet"/>
        <w:spacing w:after="60"/>
      </w:pPr>
      <w:r>
        <w:rPr>
          <w:color w:val="000000"/>
          <w:sz w:val="19"/>
        </w:rPr>
        <w:t>Minutes 50–60 are live-only Q&amp;A. Never distribute participant Q&amp;A in the replay, under any distribution model.</w:t>
      </w:r>
    </w:p>
    <w:p>
      <w:pPr>
        <w:pStyle w:val="ListBullet"/>
        <w:spacing w:after="60"/>
      </w:pPr>
      <w:r>
        <w:rPr>
          <w:color w:val="000000"/>
          <w:sz w:val="19"/>
        </w:rPr>
        <w:t>If the platform captures the whole meeting automatically, retain the raw file privately and trim the distributed replay so it ends at minute 50.</w:t>
      </w:r>
    </w:p>
    <w:p>
      <w:pPr>
        <w:pStyle w:val="ListBullet"/>
        <w:spacing w:after="60"/>
      </w:pPr>
      <w:r>
        <w:rPr>
          <w:color w:val="000000"/>
          <w:sz w:val="19"/>
        </w:rPr>
        <w:t>Distribute only the trimmed 0–50 teaching portion, per the established replay policy. The evergreen replay may be distributed through a registration-gated route; unrestricted public distribution is a later strategic choice, not a requirement.</w:t>
      </w:r>
    </w:p>
    <w:p>
      <w:pPr>
        <w:pStyle w:val="ListBullet"/>
        <w:spacing w:after="60"/>
      </w:pPr>
      <w:r>
        <w:rPr>
          <w:color w:val="000000"/>
          <w:sz w:val="19"/>
        </w:rPr>
        <w:t>Keep time-sensitive language out of the recorded teaching. Do not say tonight, this cohort, September 16, or before enrollment closes inside the core.</w:t>
      </w:r>
    </w:p>
    <w:p>
      <w:pPr>
        <w:spacing w:before="60" w:after="60" w:line="40" w:lineRule="exact"/>
        <w:pBdr>
          <w:bottom w:val="single" w:sz="6" w:space="1" w:color="B8C5D9"/>
        </w:pBdr>
      </w:pPr>
    </w:p>
    <w:p>
      <w:pPr>
        <w:spacing w:before="200" w:after="100"/>
      </w:pPr>
      <w:r>
        <w:rPr>
          <w:b/>
          <w:color w:val="0F2347"/>
          <w:sz w:val="32"/>
        </w:rPr>
        <w:t>4. Privacy and participant audio</w:t>
      </w:r>
    </w:p>
    <w:p>
      <w:pPr>
        <w:spacing w:after="160"/>
      </w:pPr>
      <w:r>
        <w:rPr>
          <w:b/>
          <w:i w:val="0"/>
          <w:color w:val="000000"/>
          <w:sz w:val="21"/>
        </w:rPr>
        <w:t>PARTICIPANT MICROPHONES ARE MUTED BY DEFAULT FOR MINUTES 0–50.</w:t>
      </w:r>
    </w:p>
    <w:p>
      <w:pPr>
        <w:pStyle w:val="ListBullet"/>
        <w:spacing w:after="60"/>
      </w:pPr>
      <w:r>
        <w:rPr>
          <w:color w:val="000000"/>
          <w:sz w:val="19"/>
        </w:rPr>
        <w:t>No participant is invited to explain their situation verbally while recording.</w:t>
      </w:r>
    </w:p>
    <w:p>
      <w:pPr>
        <w:pStyle w:val="ListBullet"/>
        <w:spacing w:after="60"/>
      </w:pPr>
      <w:r>
        <w:rPr>
          <w:color w:val="000000"/>
          <w:sz w:val="19"/>
        </w:rPr>
        <w:t>Participant-specific questions are held until minute 50. Say so once, early.</w:t>
      </w:r>
    </w:p>
    <w:p>
      <w:pPr>
        <w:pStyle w:val="ListBullet"/>
        <w:spacing w:after="60"/>
      </w:pPr>
      <w:r>
        <w:rPr>
          <w:color w:val="000000"/>
          <w:sz w:val="19"/>
        </w:rPr>
        <w:t>Named chat responses are not read aloud into the evergreen recording.</w:t>
      </w:r>
    </w:p>
    <w:p>
      <w:pPr>
        <w:pStyle w:val="ListBullet"/>
        <w:spacing w:after="60"/>
      </w:pPr>
      <w:r>
        <w:rPr>
          <w:color w:val="000000"/>
          <w:sz w:val="19"/>
        </w:rPr>
        <w:t>A highly personal chat question is never read verbatim. Summarise only the general methodological question, and only if that cannot expose the person.</w:t>
      </w:r>
    </w:p>
    <w:p>
      <w:pPr>
        <w:pStyle w:val="ListBullet"/>
        <w:spacing w:after="60"/>
      </w:pPr>
      <w:r>
        <w:rPr>
          <w:color w:val="000000"/>
          <w:sz w:val="19"/>
        </w:rPr>
        <w:t>Participant scores, states, employers and circumstances stay private throughout.</w:t>
      </w:r>
    </w:p>
    <w:p>
      <w:pPr>
        <w:pStyle w:val="ListBullet"/>
        <w:spacing w:after="60"/>
      </w:pPr>
      <w:r>
        <w:rPr>
          <w:color w:val="000000"/>
          <w:sz w:val="19"/>
        </w:rPr>
        <w:t>No poll, no show of hands, no room-level state distribution, no anonymous count. The optional “What moved” interaction is in the appendix and is OUT of the timed core.</w:t>
      </w:r>
    </w:p>
    <w:p>
      <w:pPr>
        <w:spacing w:after="160"/>
      </w:pPr>
      <w:r>
        <w:rPr>
          <w:b/>
          <w:color w:val="996600"/>
          <w:sz w:val="19"/>
        </w:rPr>
        <w:t xml:space="preserve">EARLY DISCLOSURE, SLIDE 3:  </w:t>
      </w:r>
      <w:r>
        <w:rPr>
          <w:color w:val="000000"/>
          <w:sz w:val="19"/>
        </w:rPr>
        <w:t>“The teaching portion is recorded so people can revisit the method. Your scores and your private workbook stay yours. The live Q&amp;A at the end is not part of the evergreen replay.” Say it once, calmly. Do not expand it.</w:t>
      </w:r>
    </w:p>
    <w:p>
      <w:pPr>
        <w:spacing w:before="60" w:after="60" w:line="40" w:lineRule="exact"/>
        <w:pBdr>
          <w:bottom w:val="single" w:sz="6" w:space="1" w:color="B8C5D9"/>
        </w:pBdr>
      </w:pPr>
    </w:p>
    <w:p>
      <w:pPr>
        <w:spacing w:before="200" w:after="100"/>
      </w:pPr>
      <w:r>
        <w:rPr>
          <w:b/>
          <w:color w:val="0F2347"/>
          <w:sz w:val="32"/>
        </w:rPr>
        <w:t>5. Q&amp;A boundary, minutes 50–60</w:t>
      </w:r>
    </w:p>
    <w:p>
      <w:pPr>
        <w:spacing w:after="160"/>
      </w:pPr>
      <w:r>
        <w:rPr>
          <w:b/>
          <w:i w:val="0"/>
          <w:color w:val="000000"/>
          <w:sz w:val="19"/>
        </w:rPr>
        <w:t>Q&amp;A MAY clarify:</w:t>
      </w:r>
    </w:p>
    <w:p>
      <w:pPr>
        <w:pStyle w:val="ListBullet"/>
        <w:spacing w:after="60"/>
      </w:pPr>
      <w:r>
        <w:rPr>
          <w:color w:val="000000"/>
          <w:sz w:val="19"/>
        </w:rPr>
        <w:t>Statement interpretation and the evidence protocol.</w:t>
      </w:r>
    </w:p>
    <w:p>
      <w:pPr>
        <w:pStyle w:val="ListBullet"/>
        <w:spacing w:after="60"/>
      </w:pPr>
      <w:r>
        <w:rPr>
          <w:color w:val="000000"/>
          <w:sz w:val="19"/>
        </w:rPr>
        <w:t>Boundary and incomplete readings, and the sensitivity check.</w:t>
      </w:r>
    </w:p>
    <w:p>
      <w:pPr>
        <w:pStyle w:val="ListBullet"/>
        <w:spacing w:after="60"/>
      </w:pPr>
      <w:r>
        <w:rPr>
          <w:color w:val="000000"/>
          <w:sz w:val="19"/>
        </w:rPr>
        <w:t>Move-category distinctions and what to investigate next.</w:t>
      </w:r>
    </w:p>
    <w:p>
      <w:pPr>
        <w:spacing w:after="160"/>
      </w:pPr>
      <w:r>
        <w:rPr>
          <w:b/>
          <w:i w:val="0"/>
          <w:color w:val="B00000"/>
          <w:sz w:val="19"/>
        </w:rPr>
        <w:t>Q&amp;A MUST NOT:</w:t>
      </w:r>
    </w:p>
    <w:p>
      <w:pPr>
        <w:pStyle w:val="ListBullet"/>
        <w:spacing w:after="60"/>
      </w:pPr>
      <w:r>
        <w:rPr>
          <w:color w:val="B00000"/>
          <w:sz w:val="19"/>
        </w:rPr>
        <w:t>Become individual stay/leave coaching, or tell anyone to resign or stay.</w:t>
      </w:r>
    </w:p>
    <w:p>
      <w:pPr>
        <w:pStyle w:val="ListBullet"/>
        <w:spacing w:after="60"/>
      </w:pPr>
      <w:r>
        <w:rPr>
          <w:color w:val="B00000"/>
          <w:sz w:val="19"/>
        </w:rPr>
        <w:t>Predict layoffs or diagnose a named employer.</w:t>
      </w:r>
    </w:p>
    <w:p>
      <w:pPr>
        <w:pStyle w:val="ListBullet"/>
        <w:spacing w:after="60"/>
      </w:pPr>
      <w:r>
        <w:rPr>
          <w:color w:val="B00000"/>
          <w:sz w:val="19"/>
        </w:rPr>
        <w:t>Give legal, medical, financial, immigration, tax or mental-health advice.</w:t>
      </w:r>
    </w:p>
    <w:p>
      <w:pPr>
        <w:pStyle w:val="ListBullet"/>
        <w:spacing w:after="60"/>
      </w:pPr>
      <w:r>
        <w:rPr>
          <w:color w:val="B00000"/>
          <w:sz w:val="19"/>
        </w:rPr>
        <w:t>Ask for scores, states, confidence numbers or employer names.</w:t>
      </w:r>
    </w:p>
    <w:p>
      <w:pPr>
        <w:spacing w:after="160"/>
      </w:pPr>
      <w:r>
        <w:rPr>
          <w:b w:val="0"/>
          <w:i w:val="0"/>
          <w:color w:val="000000"/>
          <w:sz w:val="19"/>
        </w:rPr>
        <w:t>If a question is really a request for a personal decision, name the boundary once and offer the Private Capability Position Read as the route — briefly, without pitching.</w:t>
      </w:r>
    </w:p>
    <w:p>
      <w:pPr>
        <w:spacing w:before="60" w:after="60" w:line="40" w:lineRule="exact"/>
        <w:pBdr>
          <w:bottom w:val="single" w:sz="6" w:space="1" w:color="B8C5D9"/>
        </w:pBdr>
      </w:pPr>
    </w:p>
    <w:p>
      <w:pPr>
        <w:spacing w:before="200" w:after="100"/>
      </w:pPr>
      <w:r>
        <w:rPr>
          <w:b/>
          <w:color w:val="0F2347"/>
          <w:sz w:val="32"/>
        </w:rPr>
        <w:t>6. Commercial architecture</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Offer</w:t>
            </w:r>
          </w:p>
        </w:tc>
        <w:tc>
          <w:tcPr>
            <w:tcW w:type="dxa" w:w="6480"/>
            <w:shd w:val="clear" w:fill="0F2347"/>
          </w:tcPr>
          <w:p>
            <w:r/>
            <w:r>
              <w:rPr>
                <w:b/>
                <w:color w:val="FFFFFF"/>
                <w:sz w:val="19"/>
              </w:rPr>
              <w:t>Position</w:t>
            </w:r>
          </w:p>
        </w:tc>
      </w:tr>
      <w:tr>
        <w:tc>
          <w:tcPr>
            <w:tcW w:type="dxa" w:w="3168"/>
          </w:tcPr>
          <w:p>
            <w:r/>
            <w:r>
              <w:rPr>
                <w:b/>
                <w:sz w:val="19"/>
              </w:rPr>
              <w:t>September 16 guided assessment</w:t>
            </w:r>
          </w:p>
        </w:tc>
        <w:tc>
          <w:tcPr>
            <w:tcW w:type="dxa" w:w="6480"/>
          </w:tcPr>
          <w:p>
            <w:r/>
            <w:r>
              <w:rPr>
                <w:sz w:val="19"/>
              </w:rPr>
              <w:t>$0. Free for this launch.</w:t>
            </w:r>
          </w:p>
        </w:tc>
      </w:tr>
      <w:tr>
        <w:tc>
          <w:tcPr>
            <w:tcW w:type="dxa" w:w="3168"/>
          </w:tcPr>
          <w:p>
            <w:r/>
            <w:r>
              <w:rPr>
                <w:b/>
                <w:sz w:val="19"/>
              </w:rPr>
              <w:t>Capability Formation Field Kit</w:t>
            </w:r>
          </w:p>
        </w:tc>
        <w:tc>
          <w:tcPr>
            <w:tcW w:type="dxa" w:w="6480"/>
          </w:tcPr>
          <w:p>
            <w:r/>
            <w:r>
              <w:rPr>
                <w:sz w:val="19"/>
              </w:rPr>
              <w:t>Exactly $150. Private, self-guided continuation. Not discounted, not bundled, never included free.</w:t>
            </w:r>
          </w:p>
        </w:tc>
      </w:tr>
      <w:tr>
        <w:tc>
          <w:tcPr>
            <w:tcW w:type="dxa" w:w="3168"/>
          </w:tcPr>
          <w:p>
            <w:r/>
            <w:r>
              <w:rPr>
                <w:b/>
                <w:sz w:val="19"/>
              </w:rPr>
              <w:t>Private Capability Position Read</w:t>
            </w:r>
          </w:p>
        </w:tc>
        <w:tc>
          <w:tcPr>
            <w:tcW w:type="dxa" w:w="6480"/>
          </w:tcPr>
          <w:p>
            <w:r/>
            <w:r>
              <w:rPr>
                <w:sz w:val="19"/>
              </w:rPr>
              <w:t>Exactly $500. The high-touch individual entry offer. Not “starting at”, not “$500+”, not a package, not coaching or consulting.</w:t>
            </w:r>
          </w:p>
        </w:tc>
      </w:tr>
      <w:tr>
        <w:tc>
          <w:tcPr>
            <w:tcW w:type="dxa" w:w="3168"/>
          </w:tcPr>
          <w:p>
            <w:r/>
            <w:r>
              <w:rPr>
                <w:b/>
                <w:sz w:val="19"/>
              </w:rPr>
              <w:t>Former paid group workshop</w:t>
            </w:r>
          </w:p>
        </w:tc>
        <w:tc>
          <w:tcPr>
            <w:tcW w:type="dxa" w:w="6480"/>
          </w:tcPr>
          <w:p>
            <w:r/>
            <w:r>
              <w:rPr>
                <w:sz w:val="19"/>
              </w:rPr>
              <w:t>RETIRED from active public sale for now. It may remain archived as an internal / Intensive asset. It must NOT appear as the current public next step and must not be mentioned in the session.</w:t>
            </w:r>
          </w:p>
        </w:tc>
      </w:tr>
    </w:tbl>
    <w:p>
      <w:pPr>
        <w:spacing w:after="80"/>
      </w:pPr>
    </w:p>
    <w:p>
      <w:pPr>
        <w:pStyle w:val="ListBullet"/>
        <w:spacing w:after="60"/>
      </w:pPr>
      <w:r>
        <w:rPr>
          <w:color w:val="B00000"/>
          <w:sz w:val="19"/>
        </w:rPr>
        <w:t>No fake scarcity, crossed-out prices, urgency language or “normally $500” framing.</w:t>
      </w:r>
    </w:p>
    <w:p>
      <w:pPr>
        <w:pStyle w:val="ListBullet"/>
        <w:spacing w:after="60"/>
      </w:pPr>
      <w:r>
        <w:rPr>
          <w:color w:val="B00000"/>
          <w:sz w:val="19"/>
        </w:rPr>
        <w:t>No coupon, no attendee price, no bundle, no automatic credit between products.</w:t>
      </w:r>
    </w:p>
    <w:p>
      <w:pPr>
        <w:pStyle w:val="ListBullet"/>
        <w:spacing w:after="60"/>
      </w:pPr>
      <w:r>
        <w:rPr>
          <w:color w:val="B00000"/>
          <w:sz w:val="19"/>
        </w:rPr>
        <w:t>No fixed pricing appears on any recorded slide face or as a durable figure in speaker notes. Immediately before delivery, verify the current public price and purchase route. State or post only the verified current information live.</w:t>
      </w:r>
    </w:p>
    <w:p>
      <w:pPr>
        <w:pStyle w:val="ListBullet"/>
        <w:spacing w:after="60"/>
      </w:pPr>
      <w:r>
        <w:rPr>
          <w:color w:val="B00000"/>
          <w:sz w:val="19"/>
        </w:rPr>
        <w:t>The workbook contains no commercial offer of any kind.</w:t>
      </w:r>
    </w:p>
    <w:p>
      <w:pPr>
        <w:spacing w:before="60" w:after="60" w:line="40" w:lineRule="exact"/>
        <w:pBdr>
          <w:bottom w:val="single" w:sz="6" w:space="1" w:color="B8C5D9"/>
        </w:pBdr>
      </w:pPr>
    </w:p>
    <w:p>
      <w:pPr>
        <w:spacing w:before="200" w:after="100"/>
      </w:pPr>
      <w:r>
        <w:rPr>
          <w:b/>
          <w:color w:val="0F2347"/>
          <w:sz w:val="32"/>
        </w:rPr>
        <w:t>7. Institutional delivery variant</w:t>
      </w:r>
    </w:p>
    <w:p>
      <w:pPr>
        <w:spacing w:after="160"/>
      </w:pPr>
      <w:r>
        <w:rPr>
          <w:b/>
          <w:i w:val="0"/>
          <w:color w:val="000000"/>
          <w:sz w:val="21"/>
        </w:rPr>
        <w:t>For institutional delivery the sequence is: slide 22, the Next-Move Note, then hidden slide 31, the INSTITUTIONAL DELIVERY CLOSE, then slide 25, the evergreen close, then slide 26, Q&amp;A. Slides 23 and 24 — the two commercial continuation slides — are skipped entirely.</w:t>
      </w:r>
    </w:p>
    <w:p>
      <w:pPr>
        <w:spacing w:after="160"/>
      </w:pPr>
      <w:r>
        <w:rPr>
          <w:b w:val="0"/>
          <w:i w:val="0"/>
          <w:color w:val="000000"/>
          <w:sz w:val="19"/>
        </w:rPr>
        <w:t>Everything before slide 22 and everything from slide 25 onward is unchanged.</w:t>
      </w:r>
    </w:p>
    <w:p>
      <w:pPr>
        <w:pStyle w:val="ListBullet"/>
        <w:spacing w:after="60"/>
      </w:pPr>
      <w:r>
        <w:rPr>
          <w:color w:val="000000"/>
          <w:sz w:val="19"/>
        </w:rPr>
        <w:t>No pricing, no Field Kit pitch, no Private Read pitch, no product CTA.</w:t>
      </w:r>
    </w:p>
    <w:p>
      <w:pPr>
        <w:pStyle w:val="ListBullet"/>
        <w:spacing w:after="60"/>
      </w:pPr>
      <w:r>
        <w:rPr>
          <w:color w:val="000000"/>
          <w:sz w:val="19"/>
        </w:rPr>
        <w:t>Institutional delivery is NOT automatically free merely because the public flagship is free. Commercial arrangements are agreed separately and are not defined here.</w:t>
      </w:r>
    </w:p>
    <w:p>
      <w:pPr>
        <w:spacing w:before="60" w:after="60" w:line="40" w:lineRule="exact"/>
        <w:pBdr>
          <w:bottom w:val="single" w:sz="6" w:space="1" w:color="B8C5D9"/>
        </w:pBdr>
      </w:pPr>
    </w:p>
    <w:p>
      <w:pPr>
        <w:spacing w:before="200" w:after="100"/>
      </w:pPr>
      <w:r>
        <w:rPr>
          <w:b/>
          <w:color w:val="0F2347"/>
          <w:sz w:val="32"/>
        </w:rPr>
        <w:t>8. Maven and Zoom configuration</w:t>
      </w:r>
    </w:p>
    <w:tbl>
      <w:tblPr>
        <w:tblW w:type="auto" w:w="0"/>
        <w:tblLayout w:type="fixed"/>
        <w:tblLook w:firstColumn="1" w:firstRow="1" w:lastColumn="0" w:lastRow="0" w:noHBand="0" w:noVBand="1" w:val="04A0"/>
      </w:tblPr>
      <w:tblGrid>
        <w:gridCol w:w="5040"/>
        <w:gridCol w:w="5040"/>
      </w:tblGrid>
      <w:tr>
        <w:tc>
          <w:tcPr>
            <w:tcW w:type="dxa" w:w="3168"/>
            <w:shd w:val="clear" w:fill="0F2347"/>
          </w:tcPr>
          <w:p>
            <w:r/>
            <w:r>
              <w:rPr>
                <w:b/>
                <w:color w:val="FFFFFF"/>
                <w:sz w:val="19"/>
              </w:rPr>
              <w:t>Setting</w:t>
            </w:r>
          </w:p>
        </w:tc>
        <w:tc>
          <w:tcPr>
            <w:tcW w:type="dxa" w:w="6480"/>
            <w:shd w:val="clear" w:fill="0F2347"/>
          </w:tcPr>
          <w:p>
            <w:r/>
            <w:r>
              <w:rPr>
                <w:b/>
                <w:color w:val="FFFFFF"/>
                <w:sz w:val="19"/>
              </w:rPr>
              <w:t>Value</w:t>
            </w:r>
          </w:p>
        </w:tc>
      </w:tr>
      <w:tr>
        <w:tc>
          <w:tcPr>
            <w:tcW w:type="dxa" w:w="3168"/>
          </w:tcPr>
          <w:p>
            <w:r/>
            <w:r>
              <w:rPr>
                <w:b/>
                <w:sz w:val="19"/>
              </w:rPr>
              <w:t>Maven format</w:t>
            </w:r>
          </w:p>
        </w:tc>
        <w:tc>
          <w:tcPr>
            <w:tcW w:type="dxa" w:w="6480"/>
          </w:tcPr>
          <w:p>
            <w:r/>
            <w:r>
              <w:rPr>
                <w:sz w:val="19"/>
              </w:rPr>
              <w:t>Lightning Lesson</w:t>
            </w:r>
          </w:p>
        </w:tc>
      </w:tr>
      <w:tr>
        <w:tc>
          <w:tcPr>
            <w:tcW w:type="dxa" w:w="3168"/>
          </w:tcPr>
          <w:p>
            <w:r/>
            <w:r>
              <w:rPr>
                <w:b/>
                <w:sz w:val="19"/>
              </w:rPr>
              <w:t>Listed duration</w:t>
            </w:r>
          </w:p>
        </w:tc>
        <w:tc>
          <w:tcPr>
            <w:tcW w:type="dxa" w:w="6480"/>
          </w:tcPr>
          <w:p>
            <w:r/>
            <w:r>
              <w:rPr>
                <w:sz w:val="19"/>
              </w:rPr>
              <w:t>60 minutes</w:t>
            </w:r>
          </w:p>
        </w:tc>
      </w:tr>
      <w:tr>
        <w:tc>
          <w:tcPr>
            <w:tcW w:type="dxa" w:w="3168"/>
          </w:tcPr>
          <w:p>
            <w:r/>
            <w:r>
              <w:rPr>
                <w:b/>
                <w:sz w:val="19"/>
              </w:rPr>
              <w:t>Listed time</w:t>
            </w:r>
          </w:p>
        </w:tc>
        <w:tc>
          <w:tcPr>
            <w:tcW w:type="dxa" w:w="6480"/>
          </w:tcPr>
          <w:p>
            <w:r/>
            <w:r>
              <w:rPr>
                <w:sz w:val="19"/>
              </w:rPr>
              <w:t>6:00–7:00 PM CT, Wednesday, September 16, 2026</w:t>
            </w:r>
          </w:p>
        </w:tc>
      </w:tr>
      <w:tr>
        <w:tc>
          <w:tcPr>
            <w:tcW w:type="dxa" w:w="3168"/>
          </w:tcPr>
          <w:p>
            <w:r/>
            <w:r>
              <w:rPr>
                <w:b/>
                <w:sz w:val="19"/>
              </w:rPr>
              <w:t>Price</w:t>
            </w:r>
          </w:p>
        </w:tc>
        <w:tc>
          <w:tcPr>
            <w:tcW w:type="dxa" w:w="6480"/>
          </w:tcPr>
          <w:p>
            <w:r/>
            <w:r>
              <w:rPr>
                <w:sz w:val="19"/>
              </w:rPr>
              <w:t>Free</w:t>
            </w:r>
          </w:p>
        </w:tc>
      </w:tr>
      <w:tr>
        <w:tc>
          <w:tcPr>
            <w:tcW w:type="dxa" w:w="3168"/>
          </w:tcPr>
          <w:p>
            <w:r/>
            <w:r>
              <w:rPr>
                <w:b/>
                <w:sz w:val="19"/>
              </w:rPr>
              <w:t>Registration</w:t>
            </w:r>
          </w:p>
        </w:tc>
        <w:tc>
          <w:tcPr>
            <w:tcW w:type="dxa" w:w="6480"/>
          </w:tcPr>
          <w:p>
            <w:r/>
            <w:r>
              <w:rPr>
                <w:sz w:val="19"/>
              </w:rPr>
              <w:t>Open registration. No artificial scarcity or marketing cap. Registration must remain within verified live-platform capacity, or an overflow/replay plan must be approved.</w:t>
            </w:r>
          </w:p>
        </w:tc>
      </w:tr>
      <w:tr>
        <w:tc>
          <w:tcPr>
            <w:tcW w:type="dxa" w:w="3168"/>
          </w:tcPr>
          <w:p>
            <w:r/>
            <w:r>
              <w:rPr>
                <w:b/>
                <w:sz w:val="19"/>
              </w:rPr>
              <w:t>Zoom start</w:t>
            </w:r>
          </w:p>
        </w:tc>
        <w:tc>
          <w:tcPr>
            <w:tcW w:type="dxa" w:w="6480"/>
          </w:tcPr>
          <w:p>
            <w:r/>
            <w:r>
              <w:rPr>
                <w:sz w:val="19"/>
              </w:rPr>
              <w:t>Open the room at 5:45 PM CT with the dated holding slide up, recording OFF.</w:t>
            </w:r>
          </w:p>
        </w:tc>
      </w:tr>
      <w:tr>
        <w:tc>
          <w:tcPr>
            <w:tcW w:type="dxa" w:w="3168"/>
          </w:tcPr>
          <w:p>
            <w:r/>
            <w:r>
              <w:rPr>
                <w:b/>
                <w:sz w:val="19"/>
              </w:rPr>
              <w:t>Zoom end</w:t>
            </w:r>
          </w:p>
        </w:tc>
        <w:tc>
          <w:tcPr>
            <w:tcW w:type="dxa" w:w="6480"/>
          </w:tcPr>
          <w:p>
            <w:r/>
            <w:r>
              <w:rPr>
                <w:sz w:val="19"/>
              </w:rPr>
              <w:t>7:00 PM CT hard stop.</w:t>
            </w:r>
          </w:p>
        </w:tc>
      </w:tr>
      <w:tr>
        <w:tc>
          <w:tcPr>
            <w:tcW w:type="dxa" w:w="3168"/>
          </w:tcPr>
          <w:p>
            <w:r/>
            <w:r>
              <w:rPr>
                <w:b/>
                <w:sz w:val="19"/>
              </w:rPr>
              <w:t>Recording</w:t>
            </w:r>
          </w:p>
        </w:tc>
        <w:tc>
          <w:tcPr>
            <w:tcW w:type="dxa" w:w="6480"/>
          </w:tcPr>
          <w:p>
            <w:r/>
            <w:r>
              <w:rPr>
                <w:sz w:val="19"/>
              </w:rPr>
              <w:t>Start on slide 1 at 6:00. Stop at 6:50.</w:t>
            </w:r>
          </w:p>
        </w:tc>
      </w:tr>
      <w:tr>
        <w:tc>
          <w:tcPr>
            <w:tcW w:type="dxa" w:w="3168"/>
          </w:tcPr>
          <w:p>
            <w:r/>
            <w:r>
              <w:rPr>
                <w:b/>
                <w:sz w:val="19"/>
              </w:rPr>
              <w:t>Capacity</w:t>
            </w:r>
          </w:p>
        </w:tc>
        <w:tc>
          <w:tcPr>
            <w:tcW w:type="dxa" w:w="6480"/>
          </w:tcPr>
          <w:p>
            <w:r/>
            <w:r>
              <w:rPr>
                <w:sz w:val="19"/>
              </w:rPr>
              <w:t>The operating family documents a 100-participant live Zoom capacity. Verify against registration before promotion continues. No webinar licence and no larger capacity may be claimed until it exists.</w:t>
            </w:r>
          </w:p>
        </w:tc>
      </w:tr>
    </w:tbl>
    <w:p>
      <w:pPr>
        <w:spacing w:after="80"/>
      </w:pPr>
    </w:p>
    <w:p>
      <w:pPr>
        <w:spacing w:before="60" w:after="60" w:line="40" w:lineRule="exact"/>
        <w:pBdr>
          <w:bottom w:val="single" w:sz="6" w:space="1" w:color="B8C5D9"/>
        </w:pBdr>
      </w:pPr>
    </w:p>
    <w:p>
      <w:pPr>
        <w:spacing w:before="200" w:after="100"/>
      </w:pPr>
      <w:r>
        <w:rPr>
          <w:b/>
          <w:color w:val="0F2347"/>
          <w:sz w:val="32"/>
        </w:rPr>
        <w:t>9. Pre-session operations</w:t>
      </w:r>
    </w:p>
    <w:p>
      <w:pPr>
        <w:pStyle w:val="ListBullet"/>
        <w:spacing w:after="60"/>
      </w:pPr>
      <w:r>
        <w:rPr>
          <w:color w:val="000000"/>
          <w:sz w:val="19"/>
        </w:rPr>
        <w:t>Confirm live platform capacity against registration.</w:t>
      </w:r>
    </w:p>
    <w:p>
      <w:pPr>
        <w:pStyle w:val="ListBullet"/>
        <w:spacing w:after="60"/>
      </w:pPr>
      <w:r>
        <w:rPr>
          <w:color w:val="000000"/>
          <w:sz w:val="19"/>
        </w:rPr>
        <w:t>Deck downloaded locally: PRESENTER_VERSION_..._60MIN_v2.0.3_CANDIDATE.pptx. Confirm slides 27–33 are hidden.</w:t>
      </w:r>
    </w:p>
    <w:p>
      <w:pPr>
        <w:pStyle w:val="ListBullet"/>
        <w:spacing w:after="60"/>
      </w:pPr>
      <w:r>
        <w:rPr>
          <w:color w:val="000000"/>
          <w:sz w:val="19"/>
        </w:rPr>
        <w:t>Workbook link ready: Capability_Position_Read_Workbook_60MIN_v2.0.1_CANDIDATE.pdf. Send with joining details and paste again in chat during minutes 0–2.</w:t>
      </w:r>
    </w:p>
    <w:p>
      <w:pPr>
        <w:pStyle w:val="ListBullet"/>
        <w:spacing w:after="60"/>
      </w:pPr>
      <w:r>
        <w:rPr>
          <w:color w:val="000000"/>
          <w:sz w:val="19"/>
        </w:rPr>
        <w:t>Recording configured and tested; confirm where the file lands.</w:t>
      </w:r>
    </w:p>
    <w:p>
      <w:pPr>
        <w:pStyle w:val="ListBullet"/>
        <w:spacing w:after="60"/>
      </w:pPr>
      <w:r>
        <w:rPr>
          <w:color w:val="000000"/>
          <w:sz w:val="19"/>
        </w:rPr>
        <w:t>Dated holding slide up from 5:45, recording OFF.</w:t>
      </w:r>
    </w:p>
    <w:p>
      <w:pPr>
        <w:pStyle w:val="ListBullet"/>
        <w:spacing w:after="60"/>
      </w:pPr>
      <w:r>
        <w:rPr>
          <w:color w:val="000000"/>
          <w:sz w:val="19"/>
        </w:rPr>
        <w:t>Timer visible to the facilitator, set to count up from 0:00.</w:t>
      </w:r>
    </w:p>
    <w:p>
      <w:pPr>
        <w:pStyle w:val="ListBullet"/>
        <w:spacing w:after="60"/>
      </w:pPr>
      <w:r>
        <w:rPr>
          <w:color w:val="000000"/>
          <w:sz w:val="19"/>
        </w:rPr>
        <w:t>Field Kit and Private Read routes verified, or the close adjusted to say plainly that a route is not yet open.</w:t>
      </w:r>
    </w:p>
    <w:p>
      <w:pPr>
        <w:pStyle w:val="ListBullet"/>
        <w:spacing w:after="60"/>
      </w:pPr>
      <w:r>
        <w:rPr>
          <w:color w:val="000000"/>
          <w:sz w:val="19"/>
        </w:rPr>
        <w:t>Institutional variant decided in advance if this is an institutional delivery.</w:t>
      </w:r>
    </w:p>
    <w:p>
      <w:pPr>
        <w:spacing w:before="60" w:after="60" w:line="40" w:lineRule="exact"/>
        <w:pBdr>
          <w:bottom w:val="single" w:sz="6" w:space="1" w:color="B8C5D9"/>
        </w:pBdr>
      </w:pPr>
    </w:p>
    <w:p>
      <w:pPr>
        <w:spacing w:before="200" w:after="100"/>
      </w:pPr>
      <w:r>
        <w:rPr>
          <w:b/>
          <w:color w:val="0F2347"/>
          <w:sz w:val="32"/>
        </w:rPr>
        <w:t>10. Rehearsal standard</w:t>
      </w:r>
    </w:p>
    <w:p>
      <w:pPr>
        <w:spacing w:after="160"/>
      </w:pPr>
      <w:r>
        <w:rPr>
          <w:b/>
          <w:i w:val="0"/>
          <w:color w:val="B00000"/>
          <w:sz w:val="21"/>
        </w:rPr>
        <w:t>TWO REHEARSALS ARE REQUIRED BEFORE THIS FAMILY LEAVES CANDIDATE.</w:t>
      </w:r>
    </w:p>
    <w:p>
      <w:pPr>
        <w:spacing w:before="160" w:after="60"/>
      </w:pPr>
      <w:r>
        <w:rPr>
          <w:b/>
          <w:color w:val="0F2347"/>
          <w:sz w:val="25"/>
        </w:rPr>
        <w:t>Rehearsal 1 — timed content rehearsal</w:t>
      </w:r>
    </w:p>
    <w:p>
      <w:pPr>
        <w:pStyle w:val="ListBullet"/>
        <w:spacing w:after="60"/>
      </w:pPr>
      <w:r>
        <w:rPr>
          <w:color w:val="000000"/>
          <w:sz w:val="19"/>
        </w:rPr>
        <w:t>Run the full recorded core start to finish, alone, at a calm delivery pace.</w:t>
      </w:r>
    </w:p>
    <w:p>
      <w:pPr>
        <w:pStyle w:val="ListBullet"/>
        <w:spacing w:after="60"/>
      </w:pPr>
      <w:r>
        <w:rPr>
          <w:color w:val="000000"/>
          <w:sz w:val="19"/>
        </w:rPr>
        <w:t>PASS CONDITION: the evergreen close lands by 50:00 without rushing and without shortening the 19:00–31:00 rescore.</w:t>
      </w:r>
    </w:p>
    <w:p>
      <w:pPr>
        <w:pStyle w:val="ListBullet"/>
        <w:spacing w:after="60"/>
      </w:pPr>
      <w:r>
        <w:rPr>
          <w:color w:val="000000"/>
          <w:sz w:val="19"/>
        </w:rPr>
        <w:t>Record the actual leave-time for every block in the reconciliation table.</w:t>
      </w:r>
    </w:p>
    <w:p>
      <w:pPr>
        <w:pStyle w:val="ListBullet"/>
        <w:spacing w:after="60"/>
      </w:pPr>
      <w:r>
        <w:rPr>
          <w:color w:val="000000"/>
          <w:sz w:val="19"/>
        </w:rPr>
        <w:t>If it does not fit, cut from 45:00–48:00 first, then the buffer, then compress the four-states block. Never the rescore.</w:t>
      </w:r>
    </w:p>
    <w:p>
      <w:pPr>
        <w:spacing w:before="160" w:after="60"/>
      </w:pPr>
      <w:r>
        <w:rPr>
          <w:b/>
          <w:color w:val="0F2347"/>
          <w:sz w:val="25"/>
        </w:rPr>
        <w:t>Rehearsal 2 — production rehearsal</w:t>
      </w:r>
    </w:p>
    <w:p>
      <w:pPr>
        <w:pStyle w:val="ListBullet"/>
        <w:spacing w:after="60"/>
      </w:pPr>
      <w:r>
        <w:rPr>
          <w:color w:val="000000"/>
          <w:sz w:val="19"/>
        </w:rPr>
        <w:t>Screen sharing, including the hidden-slide behaviour in presenter view.</w:t>
      </w:r>
    </w:p>
    <w:p>
      <w:pPr>
        <w:pStyle w:val="ListBullet"/>
        <w:spacing w:after="60"/>
      </w:pPr>
      <w:r>
        <w:rPr>
          <w:color w:val="000000"/>
          <w:sz w:val="19"/>
        </w:rPr>
        <w:t>Workbook cues: every page called at the right minute.</w:t>
      </w:r>
    </w:p>
    <w:p>
      <w:pPr>
        <w:pStyle w:val="ListBullet"/>
        <w:spacing w:after="60"/>
      </w:pPr>
      <w:r>
        <w:rPr>
          <w:color w:val="000000"/>
          <w:sz w:val="19"/>
        </w:rPr>
        <w:t>Recording start on slide 1 and stop at 50:00, with on-screen verification.</w:t>
      </w:r>
    </w:p>
    <w:p>
      <w:pPr>
        <w:pStyle w:val="ListBullet"/>
        <w:spacing w:after="60"/>
      </w:pPr>
      <w:r>
        <w:rPr>
          <w:color w:val="000000"/>
          <w:sz w:val="19"/>
        </w:rPr>
        <w:t>The minute-50 Q&amp;A transition, spoken aloud.</w:t>
      </w:r>
    </w:p>
    <w:p>
      <w:pPr>
        <w:pStyle w:val="ListBullet"/>
        <w:spacing w:after="60"/>
      </w:pPr>
      <w:r>
        <w:rPr>
          <w:color w:val="000000"/>
          <w:sz w:val="19"/>
        </w:rPr>
        <w:t>The dated holding slide before recording begins, and getting off it cleanly.</w:t>
      </w:r>
    </w:p>
    <w:p>
      <w:pPr>
        <w:pStyle w:val="ListBullet"/>
        <w:spacing w:after="60"/>
      </w:pPr>
      <w:r>
        <w:rPr>
          <w:color w:val="000000"/>
          <w:sz w:val="19"/>
        </w:rPr>
        <w:t>Chat paste of the workbook link.</w:t>
      </w:r>
    </w:p>
    <w:p>
      <w:pPr>
        <w:pStyle w:val="ListBullet"/>
        <w:spacing w:after="60"/>
      </w:pPr>
      <w:r>
        <w:rPr>
          <w:color w:val="000000"/>
          <w:sz w:val="19"/>
        </w:rPr>
        <w:t>Backup internet and a backup device.</w:t>
      </w:r>
    </w:p>
    <w:p>
      <w:pPr>
        <w:spacing w:before="160" w:after="60"/>
      </w:pPr>
      <w:r>
        <w:rPr>
          <w:b/>
          <w:color w:val="0F2347"/>
          <w:sz w:val="25"/>
        </w:rPr>
        <w:t>Workbook behaviour test — Adobe Acrobat Reader</w:t>
      </w:r>
    </w:p>
    <w:p>
      <w:pPr>
        <w:pStyle w:val="ListBullet"/>
        <w:spacing w:after="60"/>
      </w:pPr>
      <w:r>
        <w:rPr>
          <w:color w:val="000000"/>
          <w:sz w:val="19"/>
        </w:rPr>
        <w:t>Open the workbook in Adobe Acrobat Reader, not a browser viewer.</w:t>
      </w:r>
    </w:p>
    <w:p>
      <w:pPr>
        <w:pStyle w:val="ListBullet"/>
        <w:spacing w:after="60"/>
      </w:pPr>
      <w:r>
        <w:rPr>
          <w:color w:val="000000"/>
          <w:sz w:val="19"/>
        </w:rPr>
        <w:t>A bare “?” is refused in a corrected-score field.</w:t>
      </w:r>
    </w:p>
    <w:p>
      <w:pPr>
        <w:pStyle w:val="ListBullet"/>
        <w:spacing w:after="60"/>
      </w:pPr>
      <w:r>
        <w:rPr>
          <w:color w:val="000000"/>
          <w:sz w:val="19"/>
        </w:rPr>
        <w:t>3? is accepted. 2? and 5? are accepted.</w:t>
      </w:r>
    </w:p>
    <w:p>
      <w:pPr>
        <w:pStyle w:val="ListBullet"/>
        <w:spacing w:after="60"/>
      </w:pPr>
      <w:r>
        <w:rPr>
          <w:color w:val="000000"/>
          <w:sz w:val="19"/>
        </w:rPr>
        <w:t>6? is refused. 1?? is refused.</w:t>
      </w:r>
    </w:p>
    <w:p>
      <w:pPr>
        <w:pStyle w:val="ListBullet"/>
        <w:spacing w:after="60"/>
      </w:pPr>
      <w:r>
        <w:rPr>
          <w:color w:val="000000"/>
          <w:sz w:val="19"/>
        </w:rPr>
        <w:t>All four totals calculate, and a question-marked score contributes its number without the mark.</w:t>
      </w:r>
    </w:p>
    <w:p>
      <w:pPr>
        <w:pStyle w:val="ListBullet"/>
        <w:spacing w:after="60"/>
      </w:pPr>
      <w:r>
        <w:rPr>
          <w:color w:val="000000"/>
          <w:sz w:val="19"/>
        </w:rPr>
        <w:t>Every total can still be typed over by hand.</w:t>
      </w:r>
    </w:p>
    <w:p>
      <w:pPr>
        <w:spacing w:after="160"/>
      </w:pPr>
      <w:r>
        <w:rPr>
          <w:b/>
          <w:i w:val="0"/>
          <w:color w:val="B00000"/>
          <w:sz w:val="19"/>
        </w:rPr>
        <w:t>PROMOTION FROM CANDIDATE TO FINAL REQUIRES ALL THREE, IN ANY ORDER: (1) Rehearsal 1 passes; (2) Rehearsal 2 passes; (3) the workbook behaviour test passes in Adobe Acrobat Reader. Rehearsal 1 alone is NOT sufficient.</w:t>
      </w:r>
    </w:p>
    <w:p>
      <w:pPr>
        <w:spacing w:after="160"/>
      </w:pPr>
      <w:r>
        <w:rPr>
          <w:b/>
          <w:i w:val="0"/>
          <w:color w:val="B00000"/>
          <w:sz w:val="19"/>
        </w:rPr>
        <w:t>GATE STATUS. The workbook behaviour test was run by the owner in Adobe Acrobat Reader and PASSED on August 21, 2026, against the v2.0.1 workbook as it stands. That result belongs to this build of the file: regenerating the workbook voids it, because the form and its JavaScript are rebuilt with it. Rehearsal 1 and Rehearsal 2 remain OUTSTANDING, so the family remains CANDIDATE.</w:t>
      </w:r>
    </w:p>
    <w:p>
      <w:pPr>
        <w:spacing w:before="60" w:after="60" w:line="40" w:lineRule="exact"/>
        <w:pBdr>
          <w:bottom w:val="single" w:sz="6" w:space="1" w:color="B8C5D9"/>
        </w:pBdr>
      </w:pPr>
    </w:p>
    <w:p>
      <w:pPr>
        <w:spacing w:before="200" w:after="100"/>
      </w:pPr>
      <w:r>
        <w:rPr>
          <w:b/>
          <w:color w:val="0F2347"/>
          <w:sz w:val="32"/>
        </w:rPr>
        <w:t>11. Source-of-truth map</w:t>
      </w:r>
    </w:p>
    <w:p>
      <w:pPr>
        <w:pStyle w:val="ListBullet"/>
        <w:spacing w:after="60"/>
      </w:pPr>
      <w:r>
        <w:rPr>
          <w:color w:val="000000"/>
          <w:sz w:val="19"/>
        </w:rPr>
        <w:t>Deck: PRESENTER_VERSION_Decide_Whether_to_Stay_or_Leave_Your_Job_FREE_FLAGSHIP_60MIN_v2.0.3_CANDIDATE.pptx — 33 slides, 26 active, 7 hidden.</w:t>
      </w:r>
    </w:p>
    <w:p>
      <w:pPr>
        <w:pStyle w:val="ListBullet"/>
        <w:spacing w:after="60"/>
      </w:pPr>
      <w:r>
        <w:rPr>
          <w:color w:val="000000"/>
          <w:sz w:val="19"/>
        </w:rPr>
        <w:t>Workbook: Capability_Position_Read_Workbook_60MIN_v2.0.1_CANDIDATE.pdf — 8 pages, 68 form fields.</w:t>
      </w:r>
    </w:p>
    <w:p>
      <w:pPr>
        <w:pStyle w:val="ListBullet"/>
        <w:spacing w:after="60"/>
      </w:pPr>
      <w:r>
        <w:rPr>
          <w:color w:val="000000"/>
          <w:sz w:val="19"/>
        </w:rPr>
        <w:t>Workbook source: Capability_Position_Read_Workbook_60MIN_v2.0.1_SOURCE.py.</w:t>
      </w:r>
    </w:p>
    <w:p>
      <w:pPr>
        <w:pStyle w:val="ListBullet"/>
        <w:spacing w:after="60"/>
      </w:pPr>
      <w:r>
        <w:rPr>
          <w:color w:val="000000"/>
          <w:sz w:val="19"/>
        </w:rPr>
        <w:t>Governing architecture, READ-ONLY: Capability_Formation_Individual_Offer_Architecture_v1.1.docx.</w:t>
      </w:r>
    </w:p>
    <w:p>
      <w:pPr>
        <w:pStyle w:val="ListBullet"/>
        <w:spacing w:after="60"/>
      </w:pPr>
      <w:r>
        <w:rPr>
          <w:color w:val="000000"/>
          <w:sz w:val="19"/>
        </w:rPr>
        <w:t>This SOP: Capability_Formation_Free_Flagship_SOP_Sept16_2026_60MIN_v2.0.6_CANDIDATE.docx.</w:t>
      </w:r>
    </w:p>
    <w:p>
      <w:pPr>
        <w:pStyle w:val="ListBullet"/>
        <w:spacing w:after="60"/>
      </w:pPr>
      <w:r>
        <w:rPr>
          <w:color w:val="000000"/>
          <w:sz w:val="19"/>
        </w:rPr>
        <w:t>Instrument source, unchanged and not edited: the v5.3.1 FINAL Intensive deck.</w:t>
      </w:r>
    </w:p>
    <w:p>
      <w:pPr>
        <w:pStyle w:val="ListBullet"/>
        <w:spacing w:after="60"/>
      </w:pPr>
      <w:r>
        <w:rPr>
          <w:color w:val="000000"/>
          <w:sz w:val="19"/>
        </w:rPr>
        <w:t>This SOP is standalone. It does not patch, and is not governed by, the paid-workshop Launch SOP family.</w:t>
      </w:r>
    </w:p>
    <w:p>
      <w:pPr>
        <w:spacing w:before="60" w:after="60" w:line="40" w:lineRule="exact"/>
        <w:pBdr>
          <w:bottom w:val="single" w:sz="6" w:space="1" w:color="B8C5D9"/>
        </w:pBdr>
      </w:pPr>
    </w:p>
    <w:p>
      <w:pPr>
        <w:spacing w:before="200" w:after="100"/>
      </w:pPr>
      <w:r>
        <w:rPr>
          <w:b/>
          <w:color w:val="0F2347"/>
          <w:sz w:val="32"/>
        </w:rPr>
        <w:t>12. What is live elsewhere, and what remains unbuilt</w:t>
      </w:r>
    </w:p>
    <w:p>
      <w:pPr>
        <w:spacing w:after="160"/>
      </w:pPr>
      <w:r>
        <w:rPr>
          <w:b/>
          <w:i w:val="0"/>
          <w:color w:val="000000"/>
          <w:sz w:val="19"/>
        </w:rPr>
        <w:t>Two categories, previously listed as one. The first is LIVE and outside this document's scope; the second does not exist yet. Changing anything in the first is a separate decision — this SOP points at those assets, it neither governs nor republishes them.</w:t>
      </w:r>
    </w:p>
    <w:p>
      <w:pPr>
        <w:spacing w:before="160" w:after="60"/>
      </w:pPr>
      <w:r>
        <w:rPr>
          <w:b/>
          <w:color w:val="0F2347"/>
          <w:sz w:val="25"/>
        </w:rPr>
        <w:t>Live elsewhere — out of scope here, not unbuilt</w:t>
      </w:r>
    </w:p>
    <w:p>
      <w:pPr>
        <w:pStyle w:val="ListBullet"/>
        <w:spacing w:after="60"/>
      </w:pPr>
      <w:r>
        <w:rPr>
          <w:color w:val="000000"/>
          <w:sz w:val="19"/>
        </w:rPr>
        <w:t>Maven event page and platform configuration for September 16, live at maven.com/p/8b3c40/stay-or-leave-live-career-growth-assessment.</w:t>
      </w:r>
    </w:p>
    <w:p>
      <w:pPr>
        <w:pStyle w:val="ListBullet"/>
        <w:spacing w:after="60"/>
      </w:pPr>
      <w:r>
        <w:rPr>
          <w:color w:val="000000"/>
          <w:sz w:val="19"/>
        </w:rPr>
        <w:t>Attendee communications configured for the September 2 session, with its registration list maintained in Maven.</w:t>
      </w:r>
    </w:p>
    <w:p>
      <w:pPr>
        <w:pStyle w:val="ListBullet"/>
        <w:spacing w:after="60"/>
      </w:pPr>
      <w:r>
        <w:rPr>
          <w:color w:val="000000"/>
          <w:sz w:val="19"/>
        </w:rPr>
        <w:t>Field Kit and its Gumroad purchase route, live at temidayoafonja.gumroad.com/l/czmqp through the branded route temidayoafonja.com/book.</w:t>
      </w:r>
    </w:p>
    <w:p>
      <w:pPr>
        <w:pStyle w:val="ListBullet"/>
        <w:spacing w:after="60"/>
      </w:pPr>
      <w:r>
        <w:rPr>
          <w:color w:val="000000"/>
          <w:sz w:val="19"/>
        </w:rPr>
        <w:t>Current website copy, including the page that branded route reaches. The live site is the source of truth for pricing.</w:t>
      </w:r>
    </w:p>
    <w:p>
      <w:pPr>
        <w:spacing w:before="160" w:after="60"/>
      </w:pPr>
      <w:r>
        <w:rPr>
          <w:b/>
          <w:color w:val="0F2347"/>
          <w:sz w:val="25"/>
        </w:rPr>
        <w:t>Genuinely unbuilt</w:t>
      </w:r>
    </w:p>
    <w:p>
      <w:pPr>
        <w:pStyle w:val="ListBullet"/>
        <w:spacing w:after="60"/>
      </w:pPr>
      <w:r>
        <w:rPr>
          <w:color w:val="000000"/>
          <w:sz w:val="19"/>
        </w:rPr>
        <w:t>Private Capability Position Read materials, booking flow and fulfillment.</w:t>
      </w:r>
    </w:p>
    <w:p>
      <w:pPr>
        <w:pStyle w:val="ListBullet"/>
        <w:spacing w:after="60"/>
      </w:pPr>
      <w:r>
        <w:rPr>
          <w:color w:val="000000"/>
          <w:sz w:val="19"/>
        </w:rPr>
        <w:t>Post-session and replay email sequences; the replay landing page.</w:t>
      </w:r>
    </w:p>
    <w:p>
      <w:pPr>
        <w:pStyle w:val="ListBullet"/>
        <w:spacing w:after="60"/>
      </w:pPr>
      <w:r>
        <w:rPr>
          <w:color w:val="000000"/>
          <w:sz w:val="19"/>
        </w:rPr>
        <w:t>School outreach materials, proposals and institutional pricing.</w:t>
      </w:r>
    </w:p>
    <w:p>
      <w:pPr>
        <w:pStyle w:val="ListBullet"/>
        <w:spacing w:after="60"/>
      </w:pPr>
      <w:r>
        <w:rPr>
          <w:color w:val="000000"/>
          <w:sz w:val="19"/>
        </w:rPr>
        <w:t>LinkedIn and newsletter copy for the September 16 session.</w:t>
      </w:r>
    </w:p>
    <w:p>
      <w:pPr>
        <w:spacing w:before="60" w:after="60" w:line="40" w:lineRule="exact"/>
        <w:pBdr>
          <w:bottom w:val="single" w:sz="6" w:space="1" w:color="B8C5D9"/>
        </w:pBdr>
      </w:pPr>
    </w:p>
    <w:p>
      <w:pPr>
        <w:spacing w:after="0"/>
      </w:pPr>
      <w:r>
        <w:rPr>
          <w:b w:val="0"/>
          <w:i/>
          <w:color w:val="555555"/>
          <w:sz w:val="16"/>
        </w:rPr>
        <w:t>FREE FLAGSHIP SOP — 60-MINUTE EDITION v2.0.6 CANDIDATE  ·  INTERNAL ONLY  ·  Revised Sunday, August 23, 2026 at 4:21 AM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4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60-minute Maven Lightning Lesson. Revised Sunday, August 23, 2026 at 4:21 AM CT. CANDIDATE — not FINAL until the timed rehearsal passes.</dc:description>
  <cp:lastModifiedBy/>
  <cp:revision>1</cp:revision>
  <dcterms:created xsi:type="dcterms:W3CDTF">2013-12-23T23:15:00Z</dcterms:created>
  <dcterms:modified xsi:type="dcterms:W3CDTF">2013-12-23T23:15:00Z</dcterms:modified>
  <cp:category/>
</cp:coreProperties>
</file>