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Claim-boundary notes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5:06 PM CT</w:t>
      </w:r>
    </w:p>
    <w:p>
      <w:pPr>
        <w:spacing w:before="0" w:after="160"/>
      </w:pPr>
      <w:r>
        <w:rPr>
          <w:b w:val="0"/>
          <w:i w:val="0"/>
          <w:sz w:val="22"/>
        </w:rPr>
        <w:t>Each row is a claim the video makes and the limit that travels with it. A boundary is not a disclaimer to be cut for pace: in both videos it is part of the teaching.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WHAT IS CLAIMED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EXACTLY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THE LIMIT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sample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15 postings from 11 employers, read for this research.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Never: representative of the labor market, how all employers write roles, that titles are meaningless, or that titles never matter.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ceiling claim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Highest published ceiling in the sample.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Never: highest in the market. The words in the sample stay on screen with the figure.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two Director roles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Two different industries, roughly the same experience minimums, different work and authority.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 compensation comparison is drawn and none may be added. The new script does not make one.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Bounded decisions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Director role describing decisions made against predefined decisions.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script describes a serious role under pressure and the video must too. Nothing visually mocks the role, and nothing claims another person wrote the predefined decisions.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real gap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real gap is not always a skill gap.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geographic boundary and the three-hour overlap are both stated in one posting. No local meeting time is stated or implied, on screen or in any Short.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the method does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It gives you a cleaner read.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script says reading better does not guarantee a better outcome. That sentence is not cut, softened or moved.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NEVER, IN EITHER VIDEO</w:t>
      </w:r>
    </w:p>
    <w:p>
      <w:pPr>
        <w:spacing w:after="80" w:line="278" w:lineRule="auto"/>
        <w:ind w:left="547" w:hanging="230"/>
      </w:pPr>
      <w:r>
        <w:rPr>
          <w:sz w:val="21"/>
        </w:rPr>
        <w:t>•   That better wording can talk someone around a real requirement.</w:t>
      </w:r>
    </w:p>
    <w:p>
      <w:pPr>
        <w:spacing w:after="80" w:line="278" w:lineRule="auto"/>
        <w:ind w:left="547" w:hanging="230"/>
      </w:pPr>
      <w:r>
        <w:rPr>
          <w:sz w:val="21"/>
        </w:rPr>
        <w:t>•   That all prior experience transfers.</w:t>
      </w:r>
    </w:p>
    <w:p>
      <w:pPr>
        <w:spacing w:after="80" w:line="278" w:lineRule="auto"/>
        <w:ind w:left="547" w:hanging="230"/>
      </w:pPr>
      <w:r>
        <w:rPr>
          <w:sz w:val="21"/>
        </w:rPr>
        <w:t>•   That credentials, regulation, domain knowledge, geography, time-zone requirements, employer constraints, market conditions, compensation realities, relationships or bias can be reframed away.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employer intent, market conclusion or personal experience.</w:t>
      </w:r>
    </w:p>
    <w:p>
      <w:pPr>
        <w:spacing w:after="80" w:line="278" w:lineRule="auto"/>
        <w:ind w:left="547" w:hanging="230"/>
      </w:pPr>
      <w:r>
        <w:rPr>
          <w:sz w:val="21"/>
        </w:rPr>
        <w:t>•   No invented outcome, measured runtime or public URL.</w:t>
      </w:r>
    </w:p>
    <w:p>
      <w:pPr>
        <w:spacing w:after="80" w:line="278" w:lineRule="auto"/>
        <w:ind w:left="547" w:hanging="230"/>
      </w:pPr>
      <w:r>
        <w:rPr>
          <w:sz w:val="21"/>
        </w:rPr>
        <w:t>•   No chapters and no SRT timing before the final edit. No thumbnail artwork in this package.</w:t>
      </w:r>
    </w:p>
    <w:p>
      <w:pPr>
        <w:spacing w:after="80" w:line="278" w:lineRule="auto"/>
        <w:ind w:left="547" w:hanging="230"/>
      </w:pPr>
      <w:r>
        <w:rPr>
          <w:sz w:val="21"/>
        </w:rPr>
        <w:t>•   No music license is chosen and no performance result is claimed.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