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V22</w:t>
      </w:r>
    </w:p>
    <w:p>
      <w:pPr>
        <w:spacing w:before="0" w:after="80"/>
      </w:pPr>
      <w:r>
        <w:rPr>
          <w:b/>
          <w:i w:val="0"/>
          <w:color w:val="112345"/>
          <w:sz w:val="42"/>
        </w:rPr>
        <w:t>Decode a Job Description in 10 Minutes</w:t>
      </w:r>
    </w:p>
    <w:p>
      <w:pPr>
        <w:spacing w:before="0" w:after="280"/>
      </w:pPr>
      <w:r>
        <w:rPr>
          <w:b w:val="0"/>
          <w:i w:val="0"/>
          <w:color w:val="5A6B82"/>
          <w:sz w:val="20"/>
        </w:rPr>
        <w:t>Source and evidence notes</w:t>
      </w:r>
    </w:p>
    <w:p>
      <w:pPr>
        <w:spacing w:before="0" w:after="240"/>
        <w:pBdr>
          <w:bottom w:val="single" w:sz="6" w:color="8A6D1E"/>
        </w:pBdr>
      </w:pPr>
    </w:p>
    <w:p>
      <w:pPr>
        <w:spacing w:after="80"/>
      </w:pPr>
      <w:r>
        <w:rPr>
          <w:b/>
          <w:color w:val="8A6D1E"/>
          <w:sz w:val="20"/>
        </w:rPr>
        <w:t xml:space="preserve">Capture date  </w:t>
      </w:r>
      <w:r>
        <w:rPr>
          <w:sz w:val="21"/>
        </w:rPr>
        <w:t>September 12, 2026</w:t>
      </w:r>
    </w:p>
    <w:p>
      <w:pPr>
        <w:spacing w:after="80"/>
      </w:pPr>
      <w:r>
        <w:rPr>
          <w:b/>
          <w:color w:val="8A6D1E"/>
          <w:sz w:val="20"/>
        </w:rPr>
        <w:t xml:space="preserve">Authority  </w:t>
      </w:r>
      <w:r>
        <w:rPr>
          <w:sz w:val="21"/>
        </w:rPr>
        <w:t>Internal Source Capture Packet</w:t>
      </w:r>
    </w:p>
    <w:p>
      <w:pPr>
        <w:spacing w:after="80"/>
      </w:pPr>
      <w:r>
        <w:rPr>
          <w:b/>
          <w:color w:val="8A6D1E"/>
          <w:sz w:val="20"/>
        </w:rPr>
        <w:t xml:space="preserve">Generated  </w:t>
      </w:r>
      <w:r>
        <w:rPr>
          <w:sz w:val="21"/>
        </w:rPr>
        <w:t>Sunday, September 13, 2026 | 5:06 PM CT</w:t>
      </w:r>
    </w:p>
    <w:p>
      <w:pPr>
        <w:spacing w:before="200" w:after="200"/>
        <w:ind w:left="216"/>
        <w:pBdr>
          <w:left w:val="single" w:sz="18" w:color="9B2C10" w:space="8"/>
        </w:pBdr>
        <w:keepNext w:val="1"/>
        <w:keepLines w:val="1"/>
      </w:pPr>
      <w:r>
        <w:rPr>
          <w:b/>
          <w:color w:val="9B2C10"/>
          <w:sz w:val="21"/>
        </w:rPr>
        <w:t>The URL is not the asset. Every production visual is built from the preserved text in the capture packet, never from a page reopened on shoot day. Where a URL appears in frame, the visual carries CAPTURED SEPTEMBER 12, 2026.</w:t>
      </w:r>
    </w:p>
    <w:p>
      <w:pPr>
        <w:spacing w:before="320" w:after="120"/>
        <w:keepNext w:val="1"/>
        <w:keepLines w:val="1"/>
      </w:pPr>
      <w:r>
        <w:rPr>
          <w:b/>
          <w:i w:val="0"/>
          <w:color w:val="112345"/>
          <w:sz w:val="26"/>
        </w:rPr>
        <w:t>SOURCES USED ON CAMERA</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2412"/>
        <w:gridCol w:w="2412"/>
        <w:gridCol w:w="2412"/>
        <w:gridCol w:w="2412"/>
      </w:tblGrid>
      <w:tr>
        <w:trPr>
          <w:tblHeader w:val="true"/>
        </w:trPr>
        <w:tc>
          <w:tcPr>
            <w:tcW w:type="dxa" w:w="720"/>
            <w:shd w:val="clear" w:color="auto" w:fill="F3EFE6"/>
          </w:tcPr>
          <w:p>
            <w:pPr>
              <w:spacing w:before="60" w:after="60" w:line="264" w:lineRule="auto"/>
            </w:pPr>
            <w:r/>
            <w:r>
              <w:rPr>
                <w:b/>
                <w:i w:val="0"/>
                <w:color w:val="112345"/>
                <w:sz w:val="17"/>
              </w:rPr>
              <w:t>REF</w:t>
            </w:r>
          </w:p>
        </w:tc>
        <w:tc>
          <w:tcPr>
            <w:tcW w:type="dxa" w:w="2736"/>
            <w:shd w:val="clear" w:color="auto" w:fill="F3EFE6"/>
          </w:tcPr>
          <w:p>
            <w:pPr>
              <w:spacing w:before="60" w:after="60" w:line="264" w:lineRule="auto"/>
            </w:pPr>
            <w:r/>
            <w:r>
              <w:rPr>
                <w:b/>
                <w:i w:val="0"/>
                <w:color w:val="112345"/>
                <w:sz w:val="17"/>
              </w:rPr>
              <w:t>EMPLOYER</w:t>
            </w:r>
          </w:p>
        </w:tc>
        <w:tc>
          <w:tcPr>
            <w:tcW w:type="dxa" w:w="3600"/>
            <w:shd w:val="clear" w:color="auto" w:fill="F3EFE6"/>
          </w:tcPr>
          <w:p>
            <w:pPr>
              <w:spacing w:before="60" w:after="60" w:line="264" w:lineRule="auto"/>
            </w:pPr>
            <w:r/>
            <w:r>
              <w:rPr>
                <w:b/>
                <w:i w:val="0"/>
                <w:color w:val="112345"/>
                <w:sz w:val="17"/>
              </w:rPr>
              <w:t>EXACT TITLE</w:t>
            </w:r>
          </w:p>
        </w:tc>
        <w:tc>
          <w:tcPr>
            <w:tcW w:type="dxa" w:w="2592"/>
            <w:shd w:val="clear" w:color="auto" w:fill="F3EFE6"/>
          </w:tcPr>
          <w:p>
            <w:pPr>
              <w:spacing w:before="60" w:after="60" w:line="264" w:lineRule="auto"/>
            </w:pPr>
            <w:r/>
            <w:r>
              <w:rPr>
                <w:b/>
                <w:i w:val="0"/>
                <w:color w:val="112345"/>
                <w:sz w:val="17"/>
              </w:rPr>
              <w:t>PUBLISHED COMPENSATION</w:t>
            </w:r>
          </w:p>
        </w:tc>
      </w:tr>
      <w:tr>
        <w:tc>
          <w:tcPr>
            <w:tcW w:type="dxa" w:w="720"/>
          </w:tcPr>
          <w:p>
            <w:pPr>
              <w:spacing w:before="60" w:after="60" w:line="264" w:lineRule="auto"/>
            </w:pPr>
            <w:r/>
            <w:r>
              <w:rPr>
                <w:b w:val="0"/>
                <w:i w:val="0"/>
                <w:sz w:val="17"/>
              </w:rPr>
              <w:t>A1</w:t>
            </w:r>
          </w:p>
        </w:tc>
        <w:tc>
          <w:tcPr>
            <w:tcW w:type="dxa" w:w="2736"/>
          </w:tcPr>
          <w:p>
            <w:pPr>
              <w:spacing w:before="60" w:after="60" w:line="264" w:lineRule="auto"/>
            </w:pPr>
            <w:r/>
            <w:r>
              <w:rPr>
                <w:b w:val="0"/>
                <w:i w:val="0"/>
                <w:sz w:val="17"/>
              </w:rPr>
              <w:t>Health Care Service Corporation</w:t>
            </w:r>
          </w:p>
        </w:tc>
        <w:tc>
          <w:tcPr>
            <w:tcW w:type="dxa" w:w="3600"/>
          </w:tcPr>
          <w:p>
            <w:pPr>
              <w:spacing w:before="60" w:after="60" w:line="264" w:lineRule="auto"/>
            </w:pPr>
            <w:r/>
            <w:r>
              <w:rPr>
                <w:b w:val="0"/>
                <w:i w:val="0"/>
                <w:sz w:val="17"/>
              </w:rPr>
              <w:t>Sr Divisional Strategy Consultant, Governance</w:t>
            </w:r>
          </w:p>
        </w:tc>
        <w:tc>
          <w:tcPr>
            <w:tcW w:type="dxa" w:w="2592"/>
          </w:tcPr>
          <w:p>
            <w:pPr>
              <w:spacing w:before="60" w:after="60" w:line="264" w:lineRule="auto"/>
            </w:pPr>
            <w:r/>
            <w:r>
              <w:rPr>
                <w:b w:val="0"/>
                <w:i w:val="0"/>
                <w:sz w:val="17"/>
              </w:rPr>
              <w:t>$61,500 to $136,100</w:t>
            </w:r>
          </w:p>
        </w:tc>
      </w:tr>
      <w:tr>
        <w:tc>
          <w:tcPr>
            <w:tcW w:type="dxa" w:w="720"/>
          </w:tcPr>
          <w:p>
            <w:pPr>
              <w:spacing w:before="60" w:after="60" w:line="264" w:lineRule="auto"/>
            </w:pPr>
            <w:r/>
            <w:r>
              <w:rPr>
                <w:b w:val="0"/>
                <w:i w:val="0"/>
                <w:sz w:val="17"/>
              </w:rPr>
              <w:t>A2</w:t>
            </w:r>
          </w:p>
        </w:tc>
        <w:tc>
          <w:tcPr>
            <w:tcW w:type="dxa" w:w="2736"/>
          </w:tcPr>
          <w:p>
            <w:pPr>
              <w:spacing w:before="60" w:after="60" w:line="264" w:lineRule="auto"/>
            </w:pPr>
            <w:r/>
            <w:r>
              <w:rPr>
                <w:b w:val="0"/>
                <w:i w:val="0"/>
                <w:sz w:val="17"/>
              </w:rPr>
              <w:t>Health Care Service Corporation</w:t>
            </w:r>
          </w:p>
        </w:tc>
        <w:tc>
          <w:tcPr>
            <w:tcW w:type="dxa" w:w="3600"/>
          </w:tcPr>
          <w:p>
            <w:pPr>
              <w:spacing w:before="60" w:after="60" w:line="264" w:lineRule="auto"/>
            </w:pPr>
            <w:r/>
            <w:r>
              <w:rPr>
                <w:b w:val="0"/>
                <w:i w:val="0"/>
                <w:sz w:val="17"/>
              </w:rPr>
              <w:t>Director of Enterprise Resilience</w:t>
            </w:r>
          </w:p>
        </w:tc>
        <w:tc>
          <w:tcPr>
            <w:tcW w:type="dxa" w:w="2592"/>
          </w:tcPr>
          <w:p>
            <w:pPr>
              <w:spacing w:before="60" w:after="60" w:line="264" w:lineRule="auto"/>
            </w:pPr>
            <w:r/>
            <w:r>
              <w:rPr>
                <w:b w:val="0"/>
                <w:i w:val="0"/>
                <w:sz w:val="17"/>
              </w:rPr>
              <w:t>$133,400 to $247,700</w:t>
            </w:r>
          </w:p>
        </w:tc>
      </w:tr>
      <w:tr>
        <w:tc>
          <w:tcPr>
            <w:tcW w:type="dxa" w:w="720"/>
          </w:tcPr>
          <w:p>
            <w:pPr>
              <w:spacing w:before="60" w:after="60" w:line="264" w:lineRule="auto"/>
            </w:pPr>
            <w:r/>
            <w:r>
              <w:rPr>
                <w:b w:val="0"/>
                <w:i w:val="0"/>
                <w:sz w:val="17"/>
              </w:rPr>
              <w:t>A3</w:t>
            </w:r>
          </w:p>
        </w:tc>
        <w:tc>
          <w:tcPr>
            <w:tcW w:type="dxa" w:w="2736"/>
          </w:tcPr>
          <w:p>
            <w:pPr>
              <w:spacing w:before="60" w:after="60" w:line="264" w:lineRule="auto"/>
            </w:pPr>
            <w:r/>
            <w:r>
              <w:rPr>
                <w:b w:val="0"/>
                <w:i w:val="0"/>
                <w:sz w:val="17"/>
              </w:rPr>
              <w:t>Zeta Global</w:t>
            </w:r>
          </w:p>
        </w:tc>
        <w:tc>
          <w:tcPr>
            <w:tcW w:type="dxa" w:w="3600"/>
          </w:tcPr>
          <w:p>
            <w:pPr>
              <w:spacing w:before="60" w:after="60" w:line="264" w:lineRule="auto"/>
            </w:pPr>
            <w:r/>
            <w:r>
              <w:rPr>
                <w:b w:val="0"/>
                <w:i w:val="0"/>
                <w:sz w:val="17"/>
              </w:rPr>
              <w:t>Director, Talent Management</w:t>
            </w:r>
          </w:p>
        </w:tc>
        <w:tc>
          <w:tcPr>
            <w:tcW w:type="dxa" w:w="2592"/>
          </w:tcPr>
          <w:p>
            <w:pPr>
              <w:spacing w:before="60" w:after="60" w:line="264" w:lineRule="auto"/>
            </w:pPr>
            <w:r/>
            <w:r>
              <w:rPr>
                <w:b w:val="0"/>
                <w:i w:val="0"/>
                <w:sz w:val="17"/>
              </w:rPr>
              <w:t>$135,000 to $145,000</w:t>
            </w:r>
          </w:p>
        </w:tc>
      </w:tr>
      <w:tr>
        <w:tc>
          <w:tcPr>
            <w:tcW w:type="dxa" w:w="720"/>
          </w:tcPr>
          <w:p>
            <w:pPr>
              <w:spacing w:before="60" w:after="60" w:line="264" w:lineRule="auto"/>
            </w:pPr>
            <w:r/>
            <w:r>
              <w:rPr>
                <w:b w:val="0"/>
                <w:i w:val="0"/>
                <w:sz w:val="17"/>
              </w:rPr>
              <w:t>A4</w:t>
            </w:r>
          </w:p>
        </w:tc>
        <w:tc>
          <w:tcPr>
            <w:tcW w:type="dxa" w:w="2736"/>
          </w:tcPr>
          <w:p>
            <w:pPr>
              <w:spacing w:before="60" w:after="60" w:line="264" w:lineRule="auto"/>
            </w:pPr>
            <w:r/>
            <w:r>
              <w:rPr>
                <w:b w:val="0"/>
                <w:i w:val="0"/>
                <w:sz w:val="17"/>
              </w:rPr>
              <w:t>Patriot Growth Insurance Services</w:t>
            </w:r>
          </w:p>
        </w:tc>
        <w:tc>
          <w:tcPr>
            <w:tcW w:type="dxa" w:w="3600"/>
          </w:tcPr>
          <w:p>
            <w:pPr>
              <w:spacing w:before="60" w:after="60" w:line="264" w:lineRule="auto"/>
            </w:pPr>
            <w:r/>
            <w:r>
              <w:rPr>
                <w:b w:val="0"/>
                <w:i w:val="0"/>
                <w:sz w:val="17"/>
              </w:rPr>
              <w:t>Director of Strategic Initiatives</w:t>
            </w:r>
          </w:p>
        </w:tc>
        <w:tc>
          <w:tcPr>
            <w:tcW w:type="dxa" w:w="2592"/>
          </w:tcPr>
          <w:p>
            <w:pPr>
              <w:spacing w:before="60" w:after="60" w:line="264" w:lineRule="auto"/>
            </w:pPr>
            <w:r/>
            <w:r>
              <w:rPr>
                <w:b w:val="0"/>
                <w:i w:val="0"/>
                <w:sz w:val="17"/>
              </w:rPr>
              <w:t>$200,000 to $250,000</w:t>
            </w:r>
          </w:p>
        </w:tc>
      </w:tr>
      <w:tr>
        <w:tc>
          <w:tcPr>
            <w:tcW w:type="dxa" w:w="720"/>
          </w:tcPr>
          <w:p>
            <w:pPr>
              <w:spacing w:before="60" w:after="60" w:line="264" w:lineRule="auto"/>
            </w:pPr>
            <w:r/>
            <w:r>
              <w:rPr>
                <w:b w:val="0"/>
                <w:i w:val="0"/>
                <w:sz w:val="17"/>
              </w:rPr>
              <w:t>A5</w:t>
            </w:r>
          </w:p>
        </w:tc>
        <w:tc>
          <w:tcPr>
            <w:tcW w:type="dxa" w:w="2736"/>
          </w:tcPr>
          <w:p>
            <w:pPr>
              <w:spacing w:before="60" w:after="60" w:line="264" w:lineRule="auto"/>
            </w:pPr>
            <w:r/>
            <w:r>
              <w:rPr>
                <w:b w:val="0"/>
                <w:i w:val="0"/>
                <w:sz w:val="17"/>
              </w:rPr>
              <w:t>xAI</w:t>
            </w:r>
          </w:p>
        </w:tc>
        <w:tc>
          <w:tcPr>
            <w:tcW w:type="dxa" w:w="3600"/>
          </w:tcPr>
          <w:p>
            <w:pPr>
              <w:spacing w:before="60" w:after="60" w:line="264" w:lineRule="auto"/>
            </w:pPr>
            <w:r/>
            <w:r>
              <w:rPr>
                <w:b w:val="0"/>
                <w:i w:val="0"/>
                <w:sz w:val="17"/>
              </w:rPr>
              <w:t>Member of Technical Staff, Governance Risk Compliance</w:t>
            </w:r>
          </w:p>
        </w:tc>
        <w:tc>
          <w:tcPr>
            <w:tcW w:type="dxa" w:w="2592"/>
          </w:tcPr>
          <w:p>
            <w:pPr>
              <w:spacing w:before="60" w:after="60" w:line="264" w:lineRule="auto"/>
            </w:pPr>
            <w:r/>
            <w:r>
              <w:rPr>
                <w:b w:val="0"/>
                <w:i w:val="0"/>
                <w:sz w:val="17"/>
              </w:rPr>
              <w:t>$180,000 to $440,000 base</w:t>
            </w:r>
          </w:p>
        </w:tc>
      </w:tr>
      <w:tr>
        <w:tc>
          <w:tcPr>
            <w:tcW w:type="dxa" w:w="720"/>
          </w:tcPr>
          <w:p>
            <w:pPr>
              <w:spacing w:before="60" w:after="60" w:line="264" w:lineRule="auto"/>
            </w:pPr>
            <w:r/>
            <w:r>
              <w:rPr>
                <w:b w:val="0"/>
                <w:i w:val="0"/>
                <w:sz w:val="17"/>
              </w:rPr>
              <w:t>A6</w:t>
            </w:r>
          </w:p>
        </w:tc>
        <w:tc>
          <w:tcPr>
            <w:tcW w:type="dxa" w:w="2736"/>
          </w:tcPr>
          <w:p>
            <w:pPr>
              <w:spacing w:before="60" w:after="60" w:line="264" w:lineRule="auto"/>
            </w:pPr>
            <w:r/>
            <w:r>
              <w:rPr>
                <w:b w:val="0"/>
                <w:i w:val="0"/>
                <w:sz w:val="17"/>
              </w:rPr>
              <w:t>GiveDirectly</w:t>
            </w:r>
          </w:p>
        </w:tc>
        <w:tc>
          <w:tcPr>
            <w:tcW w:type="dxa" w:w="3600"/>
          </w:tcPr>
          <w:p>
            <w:pPr>
              <w:spacing w:before="60" w:after="60" w:line="264" w:lineRule="auto"/>
            </w:pPr>
            <w:r/>
            <w:r>
              <w:rPr>
                <w:b w:val="0"/>
                <w:i w:val="0"/>
                <w:sz w:val="17"/>
              </w:rPr>
              <w:t>Director, Global Talent Acquisition (Remote)</w:t>
            </w:r>
          </w:p>
        </w:tc>
        <w:tc>
          <w:tcPr>
            <w:tcW w:type="dxa" w:w="2592"/>
          </w:tcPr>
          <w:p>
            <w:pPr>
              <w:spacing w:before="60" w:after="60" w:line="264" w:lineRule="auto"/>
            </w:pPr>
            <w:r/>
            <w:r>
              <w:rPr>
                <w:b w:val="0"/>
                <w:i w:val="0"/>
                <w:sz w:val="17"/>
              </w:rPr>
              <w:t>Fixed United States base of $128,000</w:t>
            </w:r>
          </w:p>
        </w:tc>
      </w:tr>
    </w:tbl>
    <w:p>
      <w:pPr>
        <w:spacing w:after="120"/>
      </w:pPr>
    </w:p>
    <w:p>
      <w:pPr>
        <w:spacing w:before="320" w:after="120"/>
        <w:keepNext w:val="1"/>
        <w:keepLines w:val="1"/>
      </w:pPr>
      <w:r>
        <w:rPr>
          <w:b/>
          <w:i w:val="0"/>
          <w:color w:val="112345"/>
          <w:sz w:val="26"/>
        </w:rPr>
        <w:t>PRESENTATION RULES, PER SOURCE</w:t>
      </w:r>
    </w:p>
    <w:p>
      <w:pPr>
        <w:spacing w:before="200" w:after="60"/>
        <w:keepNext w:val="1"/>
        <w:keepLines w:val="1"/>
      </w:pPr>
      <w:r>
        <w:rPr>
          <w:b/>
          <w:i w:val="0"/>
          <w:color w:val="8A6D1E"/>
          <w:sz w:val="17"/>
        </w:rPr>
        <w:t>A1  SR DIVISIONAL STRATEGY CONSULTANT, GOVERNANCE</w:t>
      </w:r>
    </w:p>
    <w:p>
      <w:pPr>
        <w:spacing w:before="0" w:after="160"/>
      </w:pPr>
      <w:r>
        <w:rPr>
          <w:b w:val="0"/>
          <w:i w:val="0"/>
          <w:sz w:val="21"/>
        </w:rPr>
        <w:t>Named on camera. Highlight order: the published floor, then the ability to accept direction and feedback, then the verb supporting.</w:t>
      </w:r>
    </w:p>
    <w:p>
      <w:pPr>
        <w:spacing w:before="200" w:after="60"/>
        <w:keepNext w:val="1"/>
        <w:keepLines w:val="1"/>
      </w:pPr>
      <w:r>
        <w:rPr>
          <w:b/>
          <w:i w:val="0"/>
          <w:color w:val="8A6D1E"/>
          <w:sz w:val="17"/>
        </w:rPr>
        <w:t>A2  DIRECTOR OF ENTERPRISE RESILIENCE</w:t>
      </w:r>
    </w:p>
    <w:p>
      <w:pPr>
        <w:spacing w:before="0" w:after="160"/>
      </w:pPr>
      <w:r>
        <w:rPr>
          <w:b w:val="0"/>
          <w:i w:val="0"/>
          <w:sz w:val="21"/>
        </w:rPr>
        <w:t>Named on camera, and the viewer must hear it is the same employer as A1. The posting establishes predefined decisions. It does not establish who created them, and nothing on camera or on screen may say otherwise.</w:t>
      </w:r>
    </w:p>
    <w:p>
      <w:pPr>
        <w:spacing w:before="200" w:after="60"/>
        <w:keepNext w:val="1"/>
        <w:keepLines w:val="1"/>
      </w:pPr>
      <w:r>
        <w:rPr>
          <w:b/>
          <w:i w:val="0"/>
          <w:color w:val="8A6D1E"/>
          <w:sz w:val="17"/>
        </w:rPr>
        <w:t>A3  DIRECTOR, TALENT MANAGEMENT</w:t>
      </w:r>
    </w:p>
    <w:p>
      <w:pPr>
        <w:spacing w:before="0" w:after="160"/>
      </w:pPr>
      <w:r>
        <w:rPr>
          <w:b w:val="0"/>
          <w:i w:val="0"/>
          <w:sz w:val="21"/>
        </w:rPr>
        <w:t>Named on camera. Paired with A4 in one comparison. No compensation comparison is drawn: the new script does not make one.</w:t>
      </w:r>
    </w:p>
    <w:p>
      <w:pPr>
        <w:spacing w:before="200" w:after="60"/>
        <w:keepNext w:val="1"/>
        <w:keepLines w:val="1"/>
      </w:pPr>
      <w:r>
        <w:rPr>
          <w:b/>
          <w:i w:val="0"/>
          <w:color w:val="8A6D1E"/>
          <w:sz w:val="17"/>
        </w:rPr>
        <w:t>A4  DIRECTOR OF STRATEGIC INITIATIVES</w:t>
      </w:r>
    </w:p>
    <w:p>
      <w:pPr>
        <w:spacing w:before="0" w:after="160"/>
      </w:pPr>
      <w:r>
        <w:rPr>
          <w:b w:val="0"/>
          <w:i w:val="0"/>
          <w:sz w:val="21"/>
        </w:rPr>
        <w:t>Named on camera. Paired with A3. The two are compared on scope, reporting relationship and authority, not on pay.</w:t>
      </w:r>
    </w:p>
    <w:p>
      <w:pPr>
        <w:spacing w:before="200" w:after="60"/>
        <w:keepNext w:val="1"/>
        <w:keepLines w:val="1"/>
      </w:pPr>
      <w:r>
        <w:rPr>
          <w:b/>
          <w:i w:val="0"/>
          <w:color w:val="8A6D1E"/>
          <w:sz w:val="17"/>
        </w:rPr>
        <w:t>A5  MEMBER OF TECHNICAL STAFF, GOVERNANCE RISK COMPLIANCE</w:t>
      </w:r>
    </w:p>
    <w:p>
      <w:pPr>
        <w:spacing w:before="0" w:after="160"/>
      </w:pPr>
      <w:r>
        <w:rPr>
          <w:b w:val="0"/>
          <w:i w:val="0"/>
          <w:sz w:val="21"/>
        </w:rPr>
        <w:t>Named on camera. The acronym density is shown as captured, unedited, so it registers before the reversal. The range is revealed after the four postures, and the ceiling claim stays bounded to the sample.</w:t>
      </w:r>
    </w:p>
    <w:p>
      <w:pPr>
        <w:spacing w:before="200" w:after="60"/>
        <w:keepNext w:val="1"/>
        <w:keepLines w:val="1"/>
      </w:pPr>
      <w:r>
        <w:rPr>
          <w:b/>
          <w:i w:val="0"/>
          <w:color w:val="8A6D1E"/>
          <w:sz w:val="17"/>
        </w:rPr>
        <w:t>A6  DIRECTOR, GLOBAL TALENT ACQUISITION (REMOTE)</w:t>
      </w:r>
    </w:p>
    <w:p>
      <w:pPr>
        <w:spacing w:before="0" w:after="160"/>
      </w:pPr>
      <w:r>
        <w:rPr>
          <w:b w:val="0"/>
          <w:i w:val="0"/>
          <w:sz w:val="21"/>
        </w:rPr>
        <w:t>Named on camera, in the past tense. Two constraints are shown: the geographic boundary and the overlap requirement. The posting states the overlap; no local meeting time is stated or implied on screen.</w:t>
      </w:r>
    </w:p>
    <w:p>
      <w:pPr>
        <w:spacing w:before="320" w:after="120"/>
        <w:keepNext w:val="1"/>
        <w:keepLines w:val="1"/>
      </w:pPr>
      <w:r>
        <w:rPr>
          <w:b/>
          <w:i w:val="0"/>
          <w:color w:val="112345"/>
          <w:sz w:val="26"/>
        </w:rPr>
        <w:t>WHERE THE PACKET AND THE SCRIPT DIFFER</w:t>
      </w:r>
    </w:p>
    <w:p>
      <w:pPr>
        <w:spacing w:before="0" w:after="160"/>
      </w:pPr>
      <w:r>
        <w:rPr>
          <w:b w:val="0"/>
          <w:i w:val="0"/>
          <w:sz w:val="21"/>
        </w:rPr>
        <w:t>The capture packet quotes lines from an earlier draft under 'exact lines used in the script'. The September 13 FINAL story-led script is the wording of record and differs from those quotations throughout. The evidence itself is unchanged: the employers, titles, compensation, preserved text and presentation rules all still govern. This is recorded rather than resolved, because resolving it would mean editing one of the two sources.</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If current-source wording later differs from the captured packet, flag it. Do not silently update the research or rewrite the video.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