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V23</w:t>
      </w:r>
    </w:p>
    <w:p>
      <w:pPr>
        <w:spacing w:before="0" w:after="80"/>
      </w:pPr>
      <w:r>
        <w:rPr>
          <w:b/>
          <w:i w:val="0"/>
          <w:color w:val="112345"/>
          <w:sz w:val="42"/>
        </w:rPr>
        <w:t>Turn One Accomplishment Into Proof in 10 Minutes</w:t>
      </w:r>
    </w:p>
    <w:p>
      <w:pPr>
        <w:spacing w:before="0" w:after="280"/>
      </w:pPr>
      <w:r>
        <w:rPr>
          <w:b w:val="0"/>
          <w:i w:val="0"/>
          <w:color w:val="5A6B82"/>
          <w:sz w:val="20"/>
        </w:rPr>
        <w:t>Source and evidence notes</w:t>
      </w:r>
    </w:p>
    <w:p>
      <w:pPr>
        <w:spacing w:before="0" w:after="240"/>
        <w:pBdr>
          <w:bottom w:val="single" w:sz="6" w:color="8A6D1E"/>
        </w:pBdr>
      </w:pPr>
    </w:p>
    <w:p>
      <w:pPr>
        <w:spacing w:after="80"/>
      </w:pPr>
      <w:r>
        <w:rPr>
          <w:b/>
          <w:color w:val="8A6D1E"/>
          <w:sz w:val="20"/>
        </w:rPr>
        <w:t xml:space="preserve">Capture date  </w:t>
      </w:r>
      <w:r>
        <w:rPr>
          <w:sz w:val="21"/>
        </w:rPr>
        <w:t>September 12, 2026</w:t>
      </w:r>
    </w:p>
    <w:p>
      <w:pPr>
        <w:spacing w:after="80"/>
      </w:pPr>
      <w:r>
        <w:rPr>
          <w:b/>
          <w:color w:val="8A6D1E"/>
          <w:sz w:val="20"/>
        </w:rPr>
        <w:t xml:space="preserve">Authority  </w:t>
      </w:r>
      <w:r>
        <w:rPr>
          <w:sz w:val="21"/>
        </w:rPr>
        <w:t>Internal Source Capture Packet</w:t>
      </w:r>
    </w:p>
    <w:p>
      <w:pPr>
        <w:spacing w:after="80"/>
      </w:pPr>
      <w:r>
        <w:rPr>
          <w:b/>
          <w:color w:val="8A6D1E"/>
          <w:sz w:val="20"/>
        </w:rPr>
        <w:t xml:space="preserve">Generated  </w:t>
      </w:r>
      <w:r>
        <w:rPr>
          <w:sz w:val="21"/>
        </w:rPr>
        <w:t>Sunday, September 13, 2026 | 5:06 PM CT</w:t>
      </w:r>
    </w:p>
    <w:p>
      <w:pPr>
        <w:spacing w:before="200" w:after="200"/>
        <w:ind w:left="216"/>
        <w:pBdr>
          <w:left w:val="single" w:sz="18" w:color="9B2C10" w:space="8"/>
        </w:pBdr>
        <w:keepNext w:val="1"/>
        <w:keepLines w:val="1"/>
      </w:pPr>
      <w:r>
        <w:rPr>
          <w:b/>
          <w:color w:val="9B2C10"/>
          <w:sz w:val="21"/>
        </w:rPr>
        <w:t>The URL is not the asset. Every production visual is built from the preserved text in the capture packet, never from a page reopened on shoot day. Where a URL appears in frame, the visual carries CAPTURED SEPTEMBER 12, 2026.</w:t>
      </w:r>
    </w:p>
    <w:p>
      <w:pPr>
        <w:spacing w:before="320" w:after="120"/>
        <w:keepNext w:val="1"/>
        <w:keepLines w:val="1"/>
      </w:pPr>
      <w:r>
        <w:rPr>
          <w:b/>
          <w:i w:val="0"/>
          <w:color w:val="112345"/>
          <w:sz w:val="26"/>
        </w:rPr>
        <w:t>SOURCES USED ON CAMERA</w:t>
      </w:r>
    </w:p>
    <w:p>
      <w:pPr>
        <w:spacing w:before="0" w:after="160"/>
      </w:pPr>
      <w:r>
        <w:rPr>
          <w:b w:val="0"/>
          <w:i w:val="0"/>
          <w:sz w:val="21"/>
        </w:rPr>
        <w:t>None. The new script cites the research in bounded prose and shows no employer posting on screen.</w:t>
      </w:r>
    </w:p>
    <w:p>
      <w:pPr>
        <w:spacing w:before="320" w:after="120"/>
        <w:keepNext w:val="1"/>
        <w:keepLines w:val="1"/>
      </w:pPr>
      <w:r>
        <w:rPr>
          <w:b/>
          <w:i w:val="0"/>
          <w:color w:val="112345"/>
          <w:sz w:val="26"/>
        </w:rPr>
        <w:t>ARCHIVED EVIDENCE, NOT USED IN THIS VIDEO</w:t>
      </w:r>
    </w:p>
    <w:p>
      <w:pPr>
        <w:spacing w:before="0" w:after="160"/>
      </w:pPr>
      <w:r>
        <w:rPr>
          <w:b w:val="0"/>
          <w:i w:val="0"/>
          <w:sz w:val="21"/>
        </w:rPr>
        <w:t>The previous script compared two postings from one employer. The new script does not, so this evidence is retired from the active production layer and preserved here for traceability only. The anonymization rule still applies: the employer is not named, shown or styled anywhere a viewer could see it.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720"/>
            <w:shd w:val="clear" w:color="auto" w:fill="F3EFE6"/>
          </w:tcPr>
          <w:p>
            <w:pPr>
              <w:spacing w:before="60" w:after="60" w:line="264" w:lineRule="auto"/>
            </w:pPr>
            <w:r/>
            <w:r>
              <w:rPr>
                <w:b/>
                <w:i w:val="0"/>
                <w:color w:val="112345"/>
                <w:sz w:val="17"/>
              </w:rPr>
              <w:t>REF</w:t>
            </w:r>
          </w:p>
        </w:tc>
        <w:tc>
          <w:tcPr>
            <w:tcW w:type="dxa" w:w="2736"/>
            <w:shd w:val="clear" w:color="auto" w:fill="F3EFE6"/>
          </w:tcPr>
          <w:p>
            <w:pPr>
              <w:spacing w:before="60" w:after="60" w:line="264" w:lineRule="auto"/>
            </w:pPr>
            <w:r/>
            <w:r>
              <w:rPr>
                <w:b/>
                <w:i w:val="0"/>
                <w:color w:val="112345"/>
                <w:sz w:val="17"/>
              </w:rPr>
              <w:t>EMPLOYER (INTERNAL ONLY)</w:t>
            </w:r>
          </w:p>
        </w:tc>
        <w:tc>
          <w:tcPr>
            <w:tcW w:type="dxa" w:w="3600"/>
            <w:shd w:val="clear" w:color="auto" w:fill="F3EFE6"/>
          </w:tcPr>
          <w:p>
            <w:pPr>
              <w:spacing w:before="60" w:after="60" w:line="264" w:lineRule="auto"/>
            </w:pPr>
            <w:r/>
            <w:r>
              <w:rPr>
                <w:b/>
                <w:i w:val="0"/>
                <w:color w:val="112345"/>
                <w:sz w:val="17"/>
              </w:rPr>
              <w:t>EXACT TITLE</w:t>
            </w:r>
          </w:p>
        </w:tc>
        <w:tc>
          <w:tcPr>
            <w:tcW w:type="dxa" w:w="2592"/>
            <w:shd w:val="clear" w:color="auto" w:fill="F3EFE6"/>
          </w:tcPr>
          <w:p>
            <w:pPr>
              <w:spacing w:before="60" w:after="60" w:line="264" w:lineRule="auto"/>
            </w:pPr>
            <w:r/>
            <w:r>
              <w:rPr>
                <w:b/>
                <w:i w:val="0"/>
                <w:color w:val="112345"/>
                <w:sz w:val="17"/>
              </w:rPr>
              <w:t>PUBLISHED COMPENSATION</w:t>
            </w:r>
          </w:p>
        </w:tc>
      </w:tr>
      <w:tr>
        <w:tc>
          <w:tcPr>
            <w:tcW w:type="dxa" w:w="720"/>
          </w:tcPr>
          <w:p>
            <w:pPr>
              <w:spacing w:before="60" w:after="60" w:line="264" w:lineRule="auto"/>
            </w:pPr>
            <w:r/>
            <w:r>
              <w:rPr>
                <w:b w:val="0"/>
                <w:i w:val="0"/>
                <w:sz w:val="17"/>
              </w:rPr>
              <w:t>B1</w:t>
            </w:r>
          </w:p>
        </w:tc>
        <w:tc>
          <w:tcPr>
            <w:tcW w:type="dxa" w:w="2736"/>
          </w:tcPr>
          <w:p>
            <w:pPr>
              <w:spacing w:before="60" w:after="60" w:line="264" w:lineRule="auto"/>
            </w:pPr>
            <w:r/>
            <w:r>
              <w:rPr>
                <w:b w:val="0"/>
                <w:i w:val="0"/>
                <w:sz w:val="17"/>
              </w:rPr>
              <w:t>Mercury</w:t>
            </w:r>
          </w:p>
        </w:tc>
        <w:tc>
          <w:tcPr>
            <w:tcW w:type="dxa" w:w="3600"/>
          </w:tcPr>
          <w:p>
            <w:pPr>
              <w:spacing w:before="60" w:after="60" w:line="264" w:lineRule="auto"/>
            </w:pPr>
            <w:r/>
            <w:r>
              <w:rPr>
                <w:b w:val="0"/>
                <w:i w:val="0"/>
                <w:sz w:val="17"/>
              </w:rPr>
              <w:t>Senior Product Manager, Cards Experience</w:t>
            </w:r>
          </w:p>
        </w:tc>
        <w:tc>
          <w:tcPr>
            <w:tcW w:type="dxa" w:w="2592"/>
          </w:tcPr>
          <w:p>
            <w:pPr>
              <w:spacing w:before="60" w:after="60" w:line="264" w:lineRule="auto"/>
            </w:pPr>
            <w:r/>
            <w:r>
              <w:rPr>
                <w:b w:val="0"/>
                <w:i w:val="0"/>
                <w:sz w:val="17"/>
              </w:rPr>
              <w:t>$173,600 to $204,200</w:t>
            </w:r>
          </w:p>
        </w:tc>
      </w:tr>
      <w:tr>
        <w:tc>
          <w:tcPr>
            <w:tcW w:type="dxa" w:w="720"/>
          </w:tcPr>
          <w:p>
            <w:pPr>
              <w:spacing w:before="60" w:after="60" w:line="264" w:lineRule="auto"/>
            </w:pPr>
            <w:r/>
            <w:r>
              <w:rPr>
                <w:b w:val="0"/>
                <w:i w:val="0"/>
                <w:sz w:val="17"/>
              </w:rPr>
              <w:t>B2</w:t>
            </w:r>
          </w:p>
        </w:tc>
        <w:tc>
          <w:tcPr>
            <w:tcW w:type="dxa" w:w="2736"/>
          </w:tcPr>
          <w:p>
            <w:pPr>
              <w:spacing w:before="60" w:after="60" w:line="264" w:lineRule="auto"/>
            </w:pPr>
            <w:r/>
            <w:r>
              <w:rPr>
                <w:b w:val="0"/>
                <w:i w:val="0"/>
                <w:sz w:val="17"/>
              </w:rPr>
              <w:t>Mercury</w:t>
            </w:r>
          </w:p>
        </w:tc>
        <w:tc>
          <w:tcPr>
            <w:tcW w:type="dxa" w:w="3600"/>
          </w:tcPr>
          <w:p>
            <w:pPr>
              <w:spacing w:before="60" w:after="60" w:line="264" w:lineRule="auto"/>
            </w:pPr>
            <w:r/>
            <w:r>
              <w:rPr>
                <w:b w:val="0"/>
                <w:i w:val="0"/>
                <w:sz w:val="17"/>
              </w:rPr>
              <w:t>Senior Product Manager, Personal Banking</w:t>
            </w:r>
          </w:p>
        </w:tc>
        <w:tc>
          <w:tcPr>
            <w:tcW w:type="dxa" w:w="2592"/>
          </w:tcPr>
          <w:p>
            <w:pPr>
              <w:spacing w:before="60" w:after="60" w:line="264" w:lineRule="auto"/>
            </w:pPr>
            <w:r/>
            <w:r>
              <w:rPr>
                <w:b w:val="0"/>
                <w:i w:val="0"/>
                <w:sz w:val="17"/>
              </w:rPr>
              <w:t>$203,100 to $238,900</w:t>
            </w:r>
          </w:p>
        </w:tc>
      </w:tr>
    </w:tbl>
    <w:p>
      <w:pPr>
        <w:spacing w:after="120"/>
      </w:pPr>
    </w:p>
    <w:p>
      <w:pPr>
        <w:spacing w:before="320" w:after="120"/>
        <w:keepNext w:val="1"/>
        <w:keepLines w:val="1"/>
      </w:pPr>
      <w:r>
        <w:rPr>
          <w:b/>
          <w:i w:val="0"/>
          <w:color w:val="112345"/>
          <w:sz w:val="26"/>
        </w:rPr>
        <w:t>WHERE THE PACKET AND THE SCRIPT DIFFER</w:t>
      </w:r>
    </w:p>
    <w:p>
      <w:pPr>
        <w:spacing w:before="0" w:after="160"/>
      </w:pPr>
      <w:r>
        <w:rPr>
          <w:b w:val="0"/>
          <w:i w:val="0"/>
          <w:sz w:val="21"/>
        </w:rPr>
        <w:t>The capture packet quotes lines from an earlier draft under 'exact lines used in the script'. The September 13 FINAL story-led script is the wording of record and differs from those quotations throughout. The evidence itself is unchanged: the employers, titles, compensation, preserved text and presentation rules all still govern. This is recorded rather than resolved, because resolving it would mean editing one of the two sources.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If current-source wording later differs from the captured packet, flag it. Do not silently update the research or rewrite the video.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