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080"/>
      </w:tblGrid>
      <w:tr>
        <w:tc>
          <w:tcPr>
            <w:tcW w:type="dxa" w:w="10080"/>
            <w:shd w:val="clear" w:fill="0F2347"/>
          </w:tcPr>
          <w:p>
            <w:r>
              <w:rPr>
                <w:b/>
                <w:color w:val="FFFFFF"/>
                <w:sz w:val="19"/>
              </w:rPr>
              <w:t>INTERNAL OPERATIONS — NOT PARTICIPANT-FACING</w:t>
            </w:r>
          </w:p>
          <w:p>
            <w:r>
              <w:rPr>
                <w:b/>
                <w:color w:val="FFFFFF"/>
                <w:sz w:val="40"/>
              </w:rPr>
              <w:t>CTA Update — Change Log</w:t>
            </w:r>
          </w:p>
          <w:p>
            <w:r>
              <w:rPr>
                <w:i/>
                <w:color w:val="E3D9C4"/>
                <w:sz w:val="22"/>
              </w:rPr>
              <w:t>Both Lightning Lesson decks  ·  CANDIDATE  ·  Revised Friday, August 21, 2026 at 2:59 PM CT</w:t>
            </w:r>
          </w:p>
        </w:tc>
      </w:tr>
    </w:tbl>
    <w:p>
      <w:pPr>
        <w:spacing w:after="80"/>
      </w:pPr>
    </w:p>
    <w:p>
      <w:pPr>
        <w:spacing w:after="160"/>
      </w:pPr>
      <w:r>
        <w:rPr>
          <w:b/>
          <w:i w:val="0"/>
          <w:color w:val="B00000"/>
          <w:sz w:val="21"/>
        </w:rPr>
        <w:t>PRODUCTION REVISION STAMP — Revised Friday, August 21, 2026 at 2:59 PM CT</w:t>
      </w:r>
    </w:p>
    <w:p>
      <w:pPr>
        <w:spacing w:after="160"/>
      </w:pPr>
      <w:r>
        <w:rPr>
          <w:b/>
          <w:i w:val="0"/>
          <w:color w:val="000000"/>
          <w:sz w:val="19"/>
        </w:rPr>
        <w:t>The retired paid group workshop is removed from both decks and replaced by two routes: the free September 16 guided read as the primary route, and the Capability Formation Field Kit as the optional private alternative. Neither is presented as required, and neither free lesson is described as incomplete.</w:t>
      </w:r>
    </w:p>
    <w:p>
      <w:pPr>
        <w:spacing w:before="120" w:after="120" w:line="40" w:lineRule="exact"/>
        <w:pBdr>
          <w:bottom w:val="single" w:sz="6" w:space="1" w:color="B8C5D9"/>
        </w:pBdr>
      </w:pPr>
    </w:p>
    <w:p>
      <w:pPr>
        <w:spacing w:before="320" w:after="160"/>
      </w:pPr>
      <w:r>
        <w:rPr>
          <w:b/>
          <w:color w:val="0F2347"/>
          <w:sz w:val="32"/>
        </w:rPr>
        <w:t>September 2 — v3.3.6 to v3.3.7 CANDIDATE</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736"/>
            <w:shd w:val="clear" w:fill="0F2347"/>
          </w:tcPr>
          <w:p>
            <w:r/>
            <w:r>
              <w:rPr>
                <w:b/>
                <w:color w:val="FFFFFF"/>
                <w:sz w:val="19"/>
              </w:rPr>
              <w:t>Where</w:t>
            </w:r>
          </w:p>
        </w:tc>
        <w:tc>
          <w:tcPr>
            <w:tcW w:type="dxa" w:w="6912"/>
            <w:shd w:val="clear" w:fill="0F2347"/>
          </w:tcPr>
          <w:p>
            <w:r/>
            <w:r>
              <w:rPr>
                <w:b/>
                <w:color w:val="FFFFFF"/>
                <w:sz w:val="19"/>
              </w:rPr>
              <w:t>Change</w:t>
            </w:r>
          </w:p>
        </w:tc>
      </w:tr>
      <w:tr>
        <w:trPr>
          <w:cantSplit w:val="true"/>
        </w:trPr>
        <w:tc>
          <w:tcPr>
            <w:tcW w:type="dxa" w:w="2736"/>
          </w:tcPr>
          <w:p>
            <w:r/>
            <w:r>
              <w:rPr>
                <w:b/>
                <w:sz w:val="19"/>
              </w:rPr>
              <w:t>Method</w:t>
            </w:r>
          </w:p>
        </w:tc>
        <w:tc>
          <w:tcPr>
            <w:tcW w:type="dxa" w:w="6912"/>
          </w:tcPr>
          <w:p>
            <w:r/>
            <w:r>
              <w:rPr>
                <w:sz w:val="19"/>
              </w:rPr>
              <w:t>The v3.3.x lineage has never had a from-scratch generator. Every version in it was produced by opening the prior approved PPTX and rewriting specific slides under script control, and this continues that method: build_deck1_v337.py. Nothing was hand-edited and v3.3.6 was not overwritten.</w:t>
            </w:r>
          </w:p>
        </w:tc>
      </w:tr>
      <w:tr>
        <w:trPr>
          <w:cantSplit w:val="true"/>
        </w:trPr>
        <w:tc>
          <w:tcPr>
            <w:tcW w:type="dxa" w:w="2736"/>
          </w:tcPr>
          <w:p>
            <w:r/>
            <w:r>
              <w:rPr>
                <w:b/>
                <w:sz w:val="19"/>
              </w:rPr>
              <w:t>Slide 12</w:t>
            </w:r>
          </w:p>
        </w:tc>
        <w:tc>
          <w:tcPr>
            <w:tcW w:type="dxa" w:w="6912"/>
          </w:tcPr>
          <w:p>
            <w:r/>
            <w:r>
              <w:rPr>
                <w:sz w:val="19"/>
              </w:rPr>
              <w:t>Speaker note only. The sentence calling the retired workshop an insurance policy against a career mistake is replaced. No slide face change.</w:t>
            </w:r>
          </w:p>
        </w:tc>
      </w:tr>
      <w:tr>
        <w:trPr>
          <w:cantSplit w:val="true"/>
        </w:trPr>
        <w:tc>
          <w:tcPr>
            <w:tcW w:type="dxa" w:w="2736"/>
          </w:tcPr>
          <w:p>
            <w:r/>
            <w:r>
              <w:rPr>
                <w:b/>
                <w:sz w:val="19"/>
              </w:rPr>
              <w:t>Slide 13</w:t>
            </w:r>
          </w:p>
        </w:tc>
        <w:tc>
          <w:tcPr>
            <w:tcW w:type="dxa" w:w="6912"/>
          </w:tcPr>
          <w:p>
            <w:r/>
            <w:r>
              <w:rPr>
                <w:sz w:val="19"/>
              </w:rPr>
              <w:t>Rebuilt. FROM RECOGNITION TO A GUIDED READ. Today's recognition on the left, the September 16 guided read on the right, closing on “September 2 opens the question. September 16 guides the read.” The obsolete paid-workshop comparison is gone.</w:t>
            </w:r>
          </w:p>
        </w:tc>
      </w:tr>
      <w:tr>
        <w:trPr>
          <w:cantSplit w:val="true"/>
        </w:trPr>
        <w:tc>
          <w:tcPr>
            <w:tcW w:type="dxa" w:w="2736"/>
          </w:tcPr>
          <w:p>
            <w:r/>
            <w:r>
              <w:rPr>
                <w:b/>
                <w:sz w:val="19"/>
              </w:rPr>
              <w:t>Slide 14</w:t>
            </w:r>
          </w:p>
        </w:tc>
        <w:tc>
          <w:tcPr>
            <w:tcW w:type="dxa" w:w="6912"/>
          </w:tcPr>
          <w:p>
            <w:r/>
            <w:r>
              <w:rPr>
                <w:sz w:val="19"/>
              </w:rPr>
              <w:t>Rebuilt as the two-route continuation slide. Left, primary: the free session, date, time, a rust REGISTER FREE button and a QR to Maven. Right: the Field Kit, an outlined EXPLORE THE FIELD KIT CTA, the visible temidayoafonja.com/book route and a QR to Gumroad. The September 17 / $500 / limited-to-12 invitation is gone.</w:t>
            </w:r>
          </w:p>
        </w:tc>
      </w:tr>
      <w:tr>
        <w:trPr>
          <w:cantSplit w:val="true"/>
        </w:trPr>
        <w:tc>
          <w:tcPr>
            <w:tcW w:type="dxa" w:w="2736"/>
          </w:tcPr>
          <w:p>
            <w:r/>
            <w:r>
              <w:rPr>
                <w:b/>
                <w:sz w:val="19"/>
              </w:rPr>
              <w:t>Slide 15</w:t>
            </w:r>
          </w:p>
        </w:tc>
        <w:tc>
          <w:tcPr>
            <w:tcW w:type="dxa" w:w="6912"/>
          </w:tcPr>
          <w:p>
            <w:r/>
            <w:r>
              <w:rPr>
                <w:sz w:val="19"/>
              </w:rPr>
              <w:t>Footer line replaced with “Continue live on September 16 or privately with the Field Kit · Links in chat”. Notes carry both prebuilt chat messages. Q&amp;A timing 35:00–45:00 is unchanged.</w:t>
            </w:r>
          </w:p>
        </w:tc>
      </w:tr>
      <w:tr>
        <w:trPr>
          <w:cantSplit w:val="true"/>
        </w:trPr>
        <w:tc>
          <w:tcPr>
            <w:tcW w:type="dxa" w:w="2736"/>
          </w:tcPr>
          <w:p>
            <w:r/>
            <w:r>
              <w:rPr>
                <w:b/>
                <w:sz w:val="19"/>
              </w:rPr>
              <w:t>Hidden references removed</w:t>
            </w:r>
          </w:p>
        </w:tc>
        <w:tc>
          <w:tcPr>
            <w:tcW w:type="dxa" w:w="6912"/>
          </w:tcPr>
          <w:p>
            <w:r/>
            <w:r>
              <w:rPr>
                <w:sz w:val="19"/>
              </w:rPr>
              <w:t>Clearing slide 14's shapes left its hyperlink relationships behind, so the old Maven workshop URL and the retired Substack URL survived as orphaned rels — invisible on the face, still in the file. Both are now purged with the shapes.</w:t>
            </w:r>
          </w:p>
        </w:tc>
      </w:tr>
    </w:tbl>
    <w:p>
      <w:pPr>
        <w:spacing w:after="80"/>
      </w:pPr>
    </w:p>
    <w:p>
      <w:pPr>
        <w:spacing w:before="120" w:after="120" w:line="40" w:lineRule="exact"/>
        <w:pBdr>
          <w:bottom w:val="single" w:sz="6" w:space="1" w:color="B8C5D9"/>
        </w:pBdr>
      </w:pPr>
    </w:p>
    <w:p>
      <w:pPr>
        <w:spacing w:before="320" w:after="160"/>
      </w:pPr>
      <w:r>
        <w:rPr>
          <w:b/>
          <w:color w:val="0F2347"/>
          <w:sz w:val="32"/>
        </w:rPr>
        <w:t>September 16 — v2.0.2 to v2.0.3 CANDIDATE</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736"/>
            <w:shd w:val="clear" w:fill="0F2347"/>
          </w:tcPr>
          <w:p>
            <w:r/>
            <w:r>
              <w:rPr>
                <w:b/>
                <w:color w:val="FFFFFF"/>
                <w:sz w:val="19"/>
              </w:rPr>
              <w:t>Where</w:t>
            </w:r>
          </w:p>
        </w:tc>
        <w:tc>
          <w:tcPr>
            <w:tcW w:type="dxa" w:w="6912"/>
            <w:shd w:val="clear" w:fill="0F2347"/>
          </w:tcPr>
          <w:p>
            <w:r/>
            <w:r>
              <w:rPr>
                <w:b/>
                <w:color w:val="FFFFFF"/>
                <w:sz w:val="19"/>
              </w:rPr>
              <w:t>Change</w:t>
            </w:r>
          </w:p>
        </w:tc>
      </w:tr>
      <w:tr>
        <w:trPr>
          <w:cantSplit w:val="true"/>
        </w:trPr>
        <w:tc>
          <w:tcPr>
            <w:tcW w:type="dxa" w:w="2736"/>
          </w:tcPr>
          <w:p>
            <w:r/>
            <w:r>
              <w:rPr>
                <w:b/>
                <w:sz w:val="19"/>
              </w:rPr>
              <w:t>Method</w:t>
            </w:r>
          </w:p>
        </w:tc>
        <w:tc>
          <w:tcPr>
            <w:tcW w:type="dxa" w:w="6912"/>
          </w:tcPr>
          <w:p>
            <w:r/>
            <w:r>
              <w:rPr>
                <w:sz w:val="19"/>
              </w:rPr>
              <w:t>The production generator, forked to build_flagship_v203.js. Only the slide 24 block changed.</w:t>
            </w:r>
          </w:p>
        </w:tc>
      </w:tr>
      <w:tr>
        <w:trPr>
          <w:cantSplit w:val="true"/>
        </w:trPr>
        <w:tc>
          <w:tcPr>
            <w:tcW w:type="dxa" w:w="2736"/>
          </w:tcPr>
          <w:p>
            <w:r/>
            <w:r>
              <w:rPr>
                <w:b/>
                <w:sz w:val="19"/>
              </w:rPr>
              <w:t>Slide 23</w:t>
            </w:r>
          </w:p>
        </w:tc>
        <w:tc>
          <w:tcPr>
            <w:tcW w:type="dxa" w:w="6912"/>
          </w:tcPr>
          <w:p>
            <w:r/>
            <w:r>
              <w:rPr>
                <w:sz w:val="19"/>
              </w:rPr>
              <w:t>Unchanged. It still releases participants who have enough and still carries the Private Capability Position Read as the separate high-touch route.</w:t>
            </w:r>
          </w:p>
        </w:tc>
      </w:tr>
      <w:tr>
        <w:trPr>
          <w:cantSplit w:val="true"/>
        </w:trPr>
        <w:tc>
          <w:tcPr>
            <w:tcW w:type="dxa" w:w="2736"/>
          </w:tcPr>
          <w:p>
            <w:r/>
            <w:r>
              <w:rPr>
                <w:b/>
                <w:sz w:val="19"/>
              </w:rPr>
              <w:t>Slide 24</w:t>
            </w:r>
          </w:p>
        </w:tc>
        <w:tc>
          <w:tcPr>
            <w:tcW w:type="dxa" w:w="6912"/>
          </w:tcPr>
          <w:p>
            <w:r/>
            <w:r>
              <w:rPr>
                <w:sz w:val="19"/>
              </w:rPr>
              <w:t>Replaced, not added. KEEP WORKING PRIVATELY. Today's guided read on the left, explicitly “Complete on its own.”; the Field Kit on the right with the real cover image, a QR, the CTA and the visible temidayoafonja.com/book route, all resolving to Gumroad. The Private Read is not re-pitched here.</w:t>
            </w:r>
          </w:p>
        </w:tc>
      </w:tr>
      <w:tr>
        <w:trPr>
          <w:cantSplit w:val="true"/>
        </w:trPr>
        <w:tc>
          <w:tcPr>
            <w:tcW w:type="dxa" w:w="2736"/>
          </w:tcPr>
          <w:p>
            <w:r/>
            <w:r>
              <w:rPr>
                <w:b/>
                <w:sz w:val="19"/>
              </w:rPr>
              <w:t>Pricing</w:t>
            </w:r>
          </w:p>
        </w:tc>
        <w:tc>
          <w:tcPr>
            <w:tcW w:type="dxa" w:w="6912"/>
          </w:tcPr>
          <w:p>
            <w:r/>
            <w:r>
              <w:rPr>
                <w:sz w:val="19"/>
              </w:rPr>
              <w:t>No price on the slide face. The note instructs the facilitator to verify the current public price and purchase route immediately before delivery and to post them in the live chat; the permanent replay slide stays price-free.</w:t>
            </w:r>
          </w:p>
        </w:tc>
      </w:tr>
      <w:tr>
        <w:trPr>
          <w:cantSplit w:val="true"/>
        </w:trPr>
        <w:tc>
          <w:tcPr>
            <w:tcW w:type="dxa" w:w="2736"/>
          </w:tcPr>
          <w:p>
            <w:r/>
            <w:r>
              <w:rPr>
                <w:b/>
                <w:sz w:val="19"/>
              </w:rPr>
              <w:t>Preserved</w:t>
            </w:r>
          </w:p>
        </w:tc>
        <w:tc>
          <w:tcPr>
            <w:tcW w:type="dxa" w:w="6912"/>
          </w:tcPr>
          <w:p>
            <w:r/>
            <w:r>
              <w:rPr>
                <w:sz w:val="19"/>
              </w:rPr>
              <w:t>Slide 23 at 45:00–46:00, slide 24 at 46:00–47:00, slide 25 as the last recorded slide, recording stop at 50:00, slide 26 as the live-only Q&amp;A, 26 active plus 7 hidden, slides 27–33 hidden, and every recording and privacy boundary.</w:t>
            </w:r>
          </w:p>
        </w:tc>
      </w:tr>
    </w:tbl>
    <w:p>
      <w:pPr>
        <w:spacing w:after="80"/>
      </w:pPr>
    </w:p>
    <w:p>
      <w:pPr>
        <w:spacing w:before="120" w:after="120" w:line="40" w:lineRule="exact"/>
        <w:pBdr>
          <w:bottom w:val="single" w:sz="6" w:space="1" w:color="B8C5D9"/>
        </w:pBdr>
      </w:pPr>
    </w:p>
    <w:p>
      <w:pPr>
        <w:spacing w:before="320" w:after="160"/>
      </w:pPr>
      <w:r>
        <w:rPr>
          <w:b/>
          <w:color w:val="0F2347"/>
          <w:sz w:val="32"/>
        </w:rPr>
        <w:t>Dependent documentation</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736"/>
            <w:shd w:val="clear" w:fill="0F2347"/>
          </w:tcPr>
          <w:p>
            <w:r/>
            <w:r>
              <w:rPr>
                <w:b/>
                <w:color w:val="FFFFFF"/>
                <w:sz w:val="19"/>
              </w:rPr>
              <w:t>Artifact</w:t>
            </w:r>
          </w:p>
        </w:tc>
        <w:tc>
          <w:tcPr>
            <w:tcW w:type="dxa" w:w="6912"/>
            <w:shd w:val="clear" w:fill="0F2347"/>
          </w:tcPr>
          <w:p>
            <w:r/>
            <w:r>
              <w:rPr>
                <w:b/>
                <w:color w:val="FFFFFF"/>
                <w:sz w:val="19"/>
              </w:rPr>
              <w:t>Change</w:t>
            </w:r>
          </w:p>
        </w:tc>
      </w:tr>
      <w:tr>
        <w:trPr>
          <w:cantSplit w:val="true"/>
        </w:trPr>
        <w:tc>
          <w:tcPr>
            <w:tcW w:type="dxa" w:w="2736"/>
          </w:tcPr>
          <w:p>
            <w:r/>
            <w:r>
              <w:rPr>
                <w:b/>
                <w:sz w:val="19"/>
              </w:rPr>
              <w:t>SOP</w:t>
            </w:r>
          </w:p>
        </w:tc>
        <w:tc>
          <w:tcPr>
            <w:tcW w:type="dxa" w:w="6912"/>
          </w:tcPr>
          <w:p>
            <w:r/>
            <w:r>
              <w:rPr>
                <w:sz w:val="19"/>
              </w:rPr>
              <w:t>v2.0.3 to v2.0.4. Source-of-truth map now names deck v2.0.3, workbook v2.0.1, SOP v2.0.4.</w:t>
            </w:r>
          </w:p>
        </w:tc>
      </w:tr>
      <w:tr>
        <w:trPr>
          <w:cantSplit w:val="true"/>
        </w:trPr>
        <w:tc>
          <w:tcPr>
            <w:tcW w:type="dxa" w:w="2736"/>
          </w:tcPr>
          <w:p>
            <w:r/>
            <w:r>
              <w:rPr>
                <w:b/>
                <w:sz w:val="19"/>
              </w:rPr>
              <w:t>Change log and QA report</w:t>
            </w:r>
          </w:p>
        </w:tc>
        <w:tc>
          <w:tcPr>
            <w:tcW w:type="dxa" w:w="6912"/>
          </w:tcPr>
          <w:p>
            <w:r/>
            <w:r>
              <w:rPr>
                <w:sz w:val="19"/>
              </w:rPr>
              <w:t>v2.0.3 to v2.0.4. The deck section no longer says the deck was unchanged, and the stale slide-24 row is corrected.</w:t>
            </w:r>
          </w:p>
        </w:tc>
      </w:tr>
      <w:tr>
        <w:trPr>
          <w:cantSplit w:val="true"/>
        </w:trPr>
        <w:tc>
          <w:tcPr>
            <w:tcW w:type="dxa" w:w="2736"/>
          </w:tcPr>
          <w:p>
            <w:r/>
            <w:r>
              <w:rPr>
                <w:b/>
                <w:sz w:val="19"/>
              </w:rPr>
              <w:t>Workbook</w:t>
            </w:r>
          </w:p>
        </w:tc>
        <w:tc>
          <w:tcPr>
            <w:tcW w:type="dxa" w:w="6912"/>
          </w:tcPr>
          <w:p>
            <w:r/>
            <w:r>
              <w:rPr>
                <w:sz w:val="19"/>
              </w:rPr>
              <w:t>UNTOUCHED at v2.0.1 and byte-identical. Not regenerated. The Adobe Acrobat Reader behaviour test result is preserved, because the file it was run against has not changed.</w:t>
            </w:r>
          </w:p>
        </w:tc>
      </w:tr>
    </w:tbl>
    <w:p>
      <w:pPr>
        <w:spacing w:after="80"/>
      </w:pPr>
    </w:p>
    <w:p>
      <w:pPr>
        <w:spacing w:before="120" w:after="120" w:line="40" w:lineRule="exact"/>
        <w:pBdr>
          <w:bottom w:val="single" w:sz="6" w:space="1" w:color="B8C5D9"/>
        </w:pBdr>
      </w:pPr>
    </w:p>
    <w:p>
      <w:pPr>
        <w:spacing w:before="320" w:after="160"/>
      </w:pPr>
      <w:r>
        <w:rPr>
          <w:b/>
          <w:color w:val="0F2347"/>
          <w:sz w:val="32"/>
        </w:rPr>
        <w:t>Validation</w:t>
      </w:r>
    </w:p>
    <w:p>
      <w:pPr>
        <w:pStyle w:val="ListBullet"/>
        <w:spacing w:after="60"/>
      </w:pPr>
      <w:r>
        <w:rPr>
          <w:color w:val="000000"/>
          <w:sz w:val="19"/>
        </w:rPr>
        <w:t>Both decks exported through LibreOffice Impress and every changed slide inspected. September 2 exports 15 pages, September 16 exports 26 — hidden slides excluded in both, as expected.</w:t>
      </w:r>
    </w:p>
    <w:p>
      <w:pPr>
        <w:pStyle w:val="ListBullet"/>
        <w:spacing w:after="60"/>
      </w:pPr>
      <w:r>
        <w:rPr>
          <w:color w:val="000000"/>
          <w:sz w:val="19"/>
        </w:rPr>
        <w:t>46 of 46 CTA checks pass, including a banned-string sweep over every slide face AND every speaker note for September 17, the former price, the participant cap, the retired enrollment CTA, the old Maven workshop URL and the retired newsletter CTA.</w:t>
      </w:r>
    </w:p>
    <w:p>
      <w:pPr>
        <w:pStyle w:val="ListBullet"/>
        <w:spacing w:after="60"/>
      </w:pPr>
      <w:r>
        <w:rPr>
          <w:color w:val="000000"/>
          <w:sz w:val="19"/>
        </w:rPr>
        <w:t>121 of 121 September 16 cross-document checks pass.</w:t>
      </w:r>
    </w:p>
    <w:p>
      <w:pPr>
        <w:pStyle w:val="ListBullet"/>
        <w:spacing w:after="60"/>
      </w:pPr>
      <w:r>
        <w:rPr>
          <w:color w:val="000000"/>
          <w:sz w:val="19"/>
        </w:rPr>
        <w:t>Both QR codes were decoded from the rendered PNG and match their target URLs exactly.</w:t>
      </w:r>
    </w:p>
    <w:p>
      <w:pPr>
        <w:pStyle w:val="ListBullet"/>
        <w:spacing w:after="60"/>
      </w:pPr>
      <w:r>
        <w:rPr>
          <w:color w:val="000000"/>
          <w:sz w:val="19"/>
        </w:rPr>
        <w:t>Slide overflow test passes on the September 16 deck with no collision.</w:t>
      </w:r>
    </w:p>
    <w:p>
      <w:pPr>
        <w:spacing w:after="160"/>
      </w:pPr>
      <w:r>
        <w:rPr>
          <w:b w:val="0"/>
          <w:i/>
          <w:color w:val="555555"/>
          <w:sz w:val="18"/>
        </w:rPr>
        <w:t>TWO THINGS FOUND AND FIXED DURING VALIDATION, worth recording because neither was visible on a slide face: the orphaned hyperlink relationships described above, and run-level hyperlinks on the September 2 CTAs rendering as underlined link-blue because the theme hyperlink colour overrides an explicit run colour. The links are now attached to the shapes, which keeps brand colour and stays clickable.</w:t>
      </w:r>
    </w:p>
    <w:p>
      <w:pPr>
        <w:spacing w:before="120" w:after="120" w:line="40" w:lineRule="exact"/>
        <w:pBdr>
          <w:bottom w:val="single" w:sz="6" w:space="1" w:color="B8C5D9"/>
        </w:pBdr>
      </w:pPr>
    </w:p>
    <w:p>
      <w:pPr>
        <w:spacing w:before="320" w:after="160"/>
      </w:pPr>
      <w:r>
        <w:rPr>
          <w:b/>
          <w:color w:val="0F2347"/>
          <w:sz w:val="32"/>
        </w:rPr>
        <w:t>Files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736"/>
            <w:shd w:val="clear" w:fill="0F2347"/>
          </w:tcPr>
          <w:p>
            <w:r/>
            <w:r>
              <w:rPr>
                <w:b/>
                <w:color w:val="FFFFFF"/>
                <w:sz w:val="19"/>
              </w:rPr>
              <w:t>Item</w:t>
            </w:r>
          </w:p>
        </w:tc>
        <w:tc>
          <w:tcPr>
            <w:tcW w:type="dxa" w:w="6912"/>
            <w:shd w:val="clear" w:fill="0F2347"/>
          </w:tcPr>
          <w:p>
            <w:r/>
            <w:r>
              <w:rPr>
                <w:b/>
                <w:color w:val="FFFFFF"/>
                <w:sz w:val="19"/>
              </w:rPr>
              <w:t>Detail</w:t>
            </w:r>
          </w:p>
        </w:tc>
      </w:tr>
      <w:tr>
        <w:trPr>
          <w:cantSplit w:val="true"/>
        </w:trPr>
        <w:tc>
          <w:tcPr>
            <w:tcW w:type="dxa" w:w="2736"/>
          </w:tcPr>
          <w:p>
            <w:r/>
            <w:r>
              <w:rPr>
                <w:b/>
                <w:sz w:val="19"/>
              </w:rPr>
              <w:t>Sept 2 deck v3.3.7</w:t>
            </w:r>
          </w:p>
        </w:tc>
        <w:tc>
          <w:tcPr>
            <w:tcW w:type="dxa" w:w="6912"/>
          </w:tcPr>
          <w:p>
            <w:r/>
            <w:r>
              <w:rPr>
                <w:sz w:val="19"/>
              </w:rPr>
              <w:t>SHA-256 d7b8f635ae381c8a4be984d0d6af1bbe43ab18117ec8462ac4c13c79d7940ca4</w:t>
            </w:r>
          </w:p>
        </w:tc>
      </w:tr>
      <w:tr>
        <w:trPr>
          <w:cantSplit w:val="true"/>
        </w:trPr>
        <w:tc>
          <w:tcPr>
            <w:tcW w:type="dxa" w:w="2736"/>
          </w:tcPr>
          <w:p>
            <w:r/>
            <w:r>
              <w:rPr>
                <w:b/>
                <w:sz w:val="19"/>
              </w:rPr>
              <w:t>Sept 16 deck v2.0.3</w:t>
            </w:r>
          </w:p>
        </w:tc>
        <w:tc>
          <w:tcPr>
            <w:tcW w:type="dxa" w:w="6912"/>
          </w:tcPr>
          <w:p>
            <w:r/>
            <w:r>
              <w:rPr>
                <w:sz w:val="19"/>
              </w:rPr>
              <w:t>SHA-256 f8145183be813d54655ad4e0439454c59ad5554b090858947fdafdaad54c84f8</w:t>
            </w:r>
          </w:p>
        </w:tc>
      </w:tr>
      <w:tr>
        <w:trPr>
          <w:cantSplit w:val="true"/>
        </w:trPr>
        <w:tc>
          <w:tcPr>
            <w:tcW w:type="dxa" w:w="2736"/>
          </w:tcPr>
          <w:p>
            <w:r/>
            <w:r>
              <w:rPr>
                <w:b/>
                <w:sz w:val="19"/>
              </w:rPr>
              <w:t>Maven link</w:t>
            </w:r>
          </w:p>
        </w:tc>
        <w:tc>
          <w:tcPr>
            <w:tcW w:type="dxa" w:w="6912"/>
          </w:tcPr>
          <w:p>
            <w:r/>
            <w:r>
              <w:rPr>
                <w:sz w:val="19"/>
              </w:rPr>
              <w:t>https://maven.com/p/8b3c40/stay-or-leave-live-career-growth-assessment</w:t>
            </w:r>
          </w:p>
        </w:tc>
      </w:tr>
      <w:tr>
        <w:trPr>
          <w:cantSplit w:val="true"/>
        </w:trPr>
        <w:tc>
          <w:tcPr>
            <w:tcW w:type="dxa" w:w="2736"/>
          </w:tcPr>
          <w:p>
            <w:r/>
            <w:r>
              <w:rPr>
                <w:b/>
                <w:sz w:val="19"/>
              </w:rPr>
              <w:t>Field Kit purchase route</w:t>
            </w:r>
          </w:p>
        </w:tc>
        <w:tc>
          <w:tcPr>
            <w:tcW w:type="dxa" w:w="6912"/>
          </w:tcPr>
          <w:p>
            <w:r/>
            <w:r>
              <w:rPr>
                <w:sz w:val="19"/>
              </w:rPr>
              <w:t>https://temidayoafonja.gumroad.com/l/czmqp</w:t>
            </w:r>
          </w:p>
        </w:tc>
      </w:tr>
      <w:tr>
        <w:trPr>
          <w:cantSplit w:val="true"/>
        </w:trPr>
        <w:tc>
          <w:tcPr>
            <w:tcW w:type="dxa" w:w="2736"/>
          </w:tcPr>
          <w:p>
            <w:r/>
            <w:r>
              <w:rPr>
                <w:b/>
                <w:sz w:val="19"/>
              </w:rPr>
              <w:t>Field Kit visible route</w:t>
            </w:r>
          </w:p>
        </w:tc>
        <w:tc>
          <w:tcPr>
            <w:tcW w:type="dxa" w:w="6912"/>
          </w:tcPr>
          <w:p>
            <w:r/>
            <w:r>
              <w:rPr>
                <w:sz w:val="19"/>
              </w:rPr>
              <w:t>temidayoafonja.com/book</w:t>
            </w:r>
          </w:p>
        </w:tc>
      </w:tr>
    </w:tbl>
    <w:p>
      <w:pPr>
        <w:spacing w:after="80"/>
      </w:pPr>
    </w:p>
    <w:p>
      <w:pPr>
        <w:spacing w:before="120" w:after="120" w:line="40" w:lineRule="exact"/>
        <w:pBdr>
          <w:bottom w:val="single" w:sz="6" w:space="1" w:color="B8C5D9"/>
        </w:pBdr>
      </w:pPr>
    </w:p>
    <w:p>
      <w:pPr>
        <w:spacing w:before="320" w:after="160"/>
      </w:pPr>
      <w:r>
        <w:rPr>
          <w:b/>
          <w:color w:val="0F2347"/>
          <w:sz w:val="32"/>
        </w:rPr>
        <w:t>Status</w:t>
      </w:r>
    </w:p>
    <w:p>
      <w:pPr>
        <w:spacing w:after="160"/>
      </w:pPr>
      <w:r>
        <w:rPr>
          <w:b/>
          <w:i w:val="0"/>
          <w:color w:val="B00000"/>
          <w:sz w:val="19"/>
        </w:rPr>
        <w:t>ALL ARTIFACTS REMAIN CANDIDATE until visually approved. v3.3.6 and the v2.0.2 deck were not overwritten; both remain in place.</w:t>
      </w:r>
    </w:p>
    <w:p>
      <w:pPr>
        <w:spacing w:before="120" w:after="120" w:line="40" w:lineRule="exact"/>
        <w:pBdr>
          <w:bottom w:val="single" w:sz="6" w:space="1" w:color="B8C5D9"/>
        </w:pBdr>
      </w:pPr>
    </w:p>
    <w:p>
      <w:pPr>
        <w:spacing w:after="0"/>
      </w:pPr>
      <w:r>
        <w:rPr>
          <w:b w:val="0"/>
          <w:i/>
          <w:color w:val="555555"/>
          <w:sz w:val="16"/>
        </w:rPr>
        <w:t>CTA UPDATE — CHANGE LOG  ·  INTERNAL ONLY  ·  Revised Friday, August 21, 2026 at 2:59 PM 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