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b/>
          <w:i w:val="0"/>
          <w:color w:val="8A6D1E"/>
          <w:sz w:val="18"/>
        </w:rPr>
        <w:t>CAPABILITY FORMATION  |  VIDEO 12</w:t>
      </w:r>
    </w:p>
    <w:p>
      <w:pPr>
        <w:spacing w:before="0" w:after="80"/>
      </w:pPr>
      <w:r>
        <w:rPr>
          <w:b/>
          <w:i w:val="0"/>
          <w:color w:val="112345"/>
          <w:sz w:val="42"/>
        </w:rPr>
        <w:t>Publishing Materials</w:t>
      </w:r>
    </w:p>
    <w:p>
      <w:pPr>
        <w:spacing w:before="0" w:after="280"/>
      </w:pPr>
      <w:r>
        <w:rPr>
          <w:b w:val="0"/>
          <w:i w:val="0"/>
          <w:color w:val="5A6B82"/>
          <w:sz w:val="20"/>
        </w:rPr>
        <w:t>What to Do When You Can’t Quit Your Job Yet</w:t>
      </w:r>
    </w:p>
    <w:p>
      <w:pPr>
        <w:spacing w:before="0" w:after="240"/>
        <w:pBdr>
          <w:bottom w:val="single" w:sz="6" w:color="8A6D1E"/>
        </w:pBdr>
      </w:pPr>
    </w:p>
    <w:p>
      <w:pPr>
        <w:spacing w:after="80"/>
      </w:pPr>
      <w:r>
        <w:rPr>
          <w:b/>
          <w:color w:val="8A6D1E"/>
          <w:sz w:val="20"/>
        </w:rPr>
        <w:t xml:space="preserve">Generated  </w:t>
      </w:r>
      <w:r>
        <w:rPr>
          <w:sz w:val="21"/>
        </w:rPr>
        <w:t>Sunday, September 13, 2026 | 2:34 PM CT</w:t>
      </w:r>
    </w:p>
    <w:p>
      <w:pPr>
        <w:spacing w:after="80"/>
      </w:pPr>
      <w:r>
        <w:rPr>
          <w:b/>
          <w:color w:val="8A6D1E"/>
          <w:sz w:val="20"/>
        </w:rPr>
        <w:t xml:space="preserve">Spoken source  </w:t>
      </w:r>
      <w:r>
        <w:rPr>
          <w:sz w:val="21"/>
        </w:rPr>
        <w:t>Video_12_FINAL_Story_Led_Conversational_Recording_Script.docx  ·  SHA-256 c7eb1e687b9404a7968136601a9c6be78091153bbf5da824f8903942228018b3</w:t>
      </w:r>
    </w:p>
    <w:p>
      <w:pPr>
        <w:spacing w:before="200" w:after="200"/>
        <w:ind w:left="216"/>
        <w:pBdr>
          <w:left w:val="single" w:sz="18" w:color="9B2C10" w:space="8"/>
        </w:pBdr>
        <w:keepNext w:val="1"/>
        <w:keepLines w:val="1"/>
      </w:pPr>
      <w:r>
        <w:rPr>
          <w:b/>
          <w:color w:val="9B2C10"/>
          <w:sz w:val="21"/>
        </w:rPr>
        <w:t>Title and thumbnail wording are taken from the story-led script header. No URL, chapter timestamp, music credit or performance claim is invented anywhere in this document.</w:t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YOUTUBE TITLE</w:t>
      </w:r>
    </w:p>
    <w:p>
      <w:pPr>
        <w:spacing w:before="0" w:after="160"/>
      </w:pPr>
      <w:r>
        <w:rPr>
          <w:b/>
          <w:i w:val="0"/>
          <w:color w:val="112345"/>
          <w:sz w:val="26"/>
        </w:rPr>
        <w:t>What to Do When You Can’t Quit Your Job Yet</w:t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THUMBNAIL TEXT</w:t>
      </w:r>
    </w:p>
    <w:p>
      <w:pPr>
        <w:spacing w:before="0" w:after="160"/>
      </w:pPr>
      <w:r>
        <w:rPr>
          <w:b/>
          <w:i w:val="0"/>
          <w:color w:val="112345"/>
          <w:sz w:val="26"/>
        </w:rPr>
        <w:t>WHAT CAN CHANGE NOW?</w:t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DESCRIPTION</w:t>
      </w:r>
    </w:p>
    <w:p>
      <w:pPr>
        <w:spacing w:before="0" w:after="160"/>
      </w:pPr>
      <w:r>
        <w:rPr>
          <w:b w:val="0"/>
          <w:i w:val="0"/>
          <w:sz w:val="22"/>
        </w:rPr>
        <w:t>Just leave is easy advice when nobody has asked what your paycheck has to cover.</w:t>
      </w:r>
    </w:p>
    <w:p>
      <w:pPr>
        <w:spacing w:before="0" w:after="160"/>
      </w:pPr>
      <w:r>
        <w:rPr>
          <w:b w:val="0"/>
          <w:i w:val="0"/>
          <w:sz w:val="22"/>
        </w:rPr>
        <w:t>I cannot leave yet is a constraint. Nothing can change is a conclusion. They are not the same thing.</w:t>
      </w:r>
    </w:p>
    <w:p>
      <w:pPr>
        <w:spacing w:before="0" w:after="160"/>
      </w:pPr>
      <w:r>
        <w:rPr>
          <w:b w:val="0"/>
          <w:i w:val="0"/>
          <w:sz w:val="22"/>
        </w:rPr>
        <w:t>This video helps you protect what must hold, bound what you can influence safely, and prepare one possible next step. You will leave with four private lines and a review point.</w:t>
      </w:r>
    </w:p>
    <w:p>
      <w:pPr>
        <w:spacing w:before="0" w:after="160"/>
      </w:pPr>
      <w:r>
        <w:rPr>
          <w:b w:val="0"/>
          <w:i w:val="0"/>
          <w:sz w:val="22"/>
        </w:rPr>
        <w:t>If health, safety, harassment, discrimination or another urgent issue is involved, appropriate support comes before any career exercise. This video cannot interpret an employment agreement, benefits, immigration rules or a health decision.</w:t>
      </w:r>
    </w:p>
    <w:p>
      <w:pPr>
        <w:spacing w:before="200" w:after="80"/>
      </w:pPr>
      <w:r>
        <w:rPr>
          <w:b/>
          <w:i w:val="0"/>
          <w:color w:val="8A6D1E"/>
          <w:sz w:val="18"/>
        </w:rPr>
        <w:t>RESOURCE LINE, paste as the last block:</w:t>
      </w:r>
    </w:p>
    <w:p>
      <w:pPr>
        <w:spacing w:before="0" w:after="160"/>
      </w:pPr>
      <w:r>
        <w:rPr>
          <w:b/>
          <w:i w:val="0"/>
          <w:sz w:val="22"/>
        </w:rPr>
        <w:t>Career Decision Evidence Check: https://temidayoafonja.com/career-decisions</w:t>
      </w:r>
    </w:p>
    <w:p>
      <w:pPr>
        <w:spacing w:before="0" w:after="160"/>
      </w:pPr>
      <w:r>
        <w:rPr>
          <w:b w:val="0"/>
          <w:i w:val="0"/>
          <w:color w:val="5A6B82"/>
          <w:sz w:val="20"/>
        </w:rPr>
        <w:t>WATCH NEXT LINE: Video 13: A 30-Day Plan to Test Your Next Career Move</w:t>
      </w:r>
    </w:p>
    <w:p>
      <w:pPr>
        <w:spacing w:before="0" w:after="160"/>
      </w:pPr>
      <w:r>
        <w:rPr>
          <w:b w:val="0"/>
          <w:i w:val="0"/>
          <w:color w:val="9B2C10"/>
          <w:sz w:val="20"/>
        </w:rPr>
        <w:t>[PLACEHOLDER] Insert the Watch Next URL after that video is published. Do not invent a URL.</w:t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PINNED COMMENT</w:t>
      </w:r>
    </w:p>
    <w:p>
      <w:pPr>
        <w:spacing w:before="0" w:after="160"/>
      </w:pPr>
      <w:r>
        <w:rPr>
          <w:b w:val="0"/>
          <w:i w:val="0"/>
          <w:sz w:val="22"/>
        </w:rPr>
        <w:t>Four lines, written privately.</w:t>
        <w:br/>
        <w:t>What must hold for now?</w:t>
        <w:br/>
        <w:t>What can I influence safely?</w:t>
        <w:br/>
        <w:t>What one question would make the next option clearer?</w:t>
        <w:br/>
        <w:t>When will I review this again?</w:t>
      </w:r>
    </w:p>
    <w:p>
      <w:pPr>
        <w:spacing w:before="0" w:after="160"/>
      </w:pPr>
      <w:r>
        <w:rPr>
          <w:b w:val="0"/>
          <w:i w:val="0"/>
          <w:sz w:val="22"/>
        </w:rPr>
        <w:t>If your capacity is very limited, choose only the first line and the review point. That is a deliberate choice, not a failure.</w:t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TAGS</w:t>
      </w:r>
    </w:p>
    <w:p>
      <w:pPr>
        <w:spacing w:before="0" w:after="160"/>
      </w:pPr>
      <w:r>
        <w:rPr>
          <w:b w:val="0"/>
          <w:i w:val="0"/>
          <w:sz w:val="22"/>
        </w:rPr>
        <w:t>cannot quit my job, stuck at work, career constraints, job search, career planning, experienced professionals, work boundaries, career decision, financial constraints, mid career, career strategy, what can change now</w:t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HASHTAGS</w:t>
      </w:r>
    </w:p>
    <w:p>
      <w:pPr>
        <w:spacing w:before="0" w:after="160"/>
      </w:pPr>
      <w:r>
        <w:rPr>
          <w:b/>
          <w:i w:val="0"/>
          <w:sz w:val="24"/>
        </w:rPr>
        <w:t>#CareerAdvice  #StuckAtWork  #CapabilityFormation</w:t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RESOURCE ROUTE</w:t>
      </w:r>
    </w:p>
    <w:tbl>
      <w:tblPr>
        <w:tblW w:type="auto" w:w="0"/>
        <w:jc w:val="left"/>
        <w:tblBorders>
          <w:top w:val="single" w:sz="4" w:space="0" w:color="C9BFA8"/>
          <w:left w:val="single" w:sz="4" w:space="0" w:color="C9BFA8"/>
          <w:bottom w:val="single" w:sz="4" w:space="0" w:color="C9BFA8"/>
          <w:right w:val="single" w:sz="4" w:space="0" w:color="C9BFA8"/>
          <w:insideH w:val="single" w:sz="4" w:space="0" w:color="C9BFA8"/>
          <w:insideV w:val="single" w:sz="4" w:space="0" w:color="C9BFA8"/>
        </w:tblBorders>
        <w:tblLayout w:type="fixed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rPr>
          <w:tblHeader w:val="true"/>
        </w:trPr>
        <w:tc>
          <w:tcPr>
            <w:tcW w:type="dxa" w:w="2736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RESOURCE</w:t>
            </w:r>
          </w:p>
        </w:tc>
        <w:tc>
          <w:tcPr>
            <w:tcW w:type="dxa" w:w="3024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WHERE IT LIVES</w:t>
            </w:r>
          </w:p>
        </w:tc>
        <w:tc>
          <w:tcPr>
            <w:tcW w:type="dxa" w:w="3888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HOW IT IS USED</w:t>
            </w:r>
          </w:p>
        </w:tc>
      </w:tr>
      <w:tr>
        <w:tc>
          <w:tcPr>
            <w:tcW w:type="dxa" w:w="273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Career Decision Evidence Check</w:t>
            </w:r>
          </w:p>
        </w:tc>
        <w:tc>
          <w:tcPr>
            <w:tcW w:type="dxa" w:w="302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temidayoafonja.com/career-decisions</w:t>
            </w:r>
          </w:p>
        </w:tc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Spoken once, after the teaching. One primary CTA. No second offer is added.</w:t>
            </w:r>
          </w:p>
        </w:tc>
      </w:tr>
    </w:tbl>
    <w:p>
      <w:pPr>
        <w:spacing w:after="120"/>
      </w:pP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WATCH NEXT AND PLAYLIST</w:t>
      </w:r>
    </w:p>
    <w:tbl>
      <w:tblPr>
        <w:tblW w:type="auto" w:w="0"/>
        <w:jc w:val="left"/>
        <w:tblBorders>
          <w:top w:val="single" w:sz="4" w:space="0" w:color="C9BFA8"/>
          <w:left w:val="single" w:sz="4" w:space="0" w:color="C9BFA8"/>
          <w:bottom w:val="single" w:sz="4" w:space="0" w:color="C9BFA8"/>
          <w:right w:val="single" w:sz="4" w:space="0" w:color="C9BFA8"/>
          <w:insideH w:val="single" w:sz="4" w:space="0" w:color="C9BFA8"/>
          <w:insideV w:val="single" w:sz="4" w:space="0" w:color="C9BFA8"/>
        </w:tblBorders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rPr>
          <w:tblHeader w:val="true"/>
        </w:trPr>
        <w:tc>
          <w:tcPr>
            <w:tcW w:type="dxa" w:w="1944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FIELD</w:t>
            </w:r>
          </w:p>
        </w:tc>
        <w:tc>
          <w:tcPr>
            <w:tcW w:type="dxa" w:w="7704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VALUE</w:t>
            </w:r>
          </w:p>
        </w:tc>
      </w:tr>
      <w:tr>
        <w:tc>
          <w:tcPr>
            <w:tcW w:type="dxa" w:w="194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Watch Next</w:t>
            </w:r>
          </w:p>
        </w:tc>
        <w:tc>
          <w:tcPr>
            <w:tcW w:type="dxa" w:w="770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Video 13: A 30-Day Plan to Test Your Next Career Move</w:t>
            </w:r>
          </w:p>
        </w:tc>
      </w:tr>
      <w:tr>
        <w:tc>
          <w:tcPr>
            <w:tcW w:type="dxa" w:w="194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Where that comes from</w:t>
            </w:r>
          </w:p>
        </w:tc>
        <w:tc>
          <w:tcPr>
            <w:tcW w:type="dxa" w:w="770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spoken in the story-led script</w:t>
            </w:r>
          </w:p>
        </w:tc>
      </w:tr>
      <w:tr>
        <w:tc>
          <w:tcPr>
            <w:tcW w:type="dxa" w:w="194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Playlist</w:t>
            </w:r>
          </w:p>
        </w:tc>
        <w:tc>
          <w:tcPr>
            <w:tcW w:type="dxa" w:w="770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Capability Formation: career pivots and internal moves</w:t>
            </w:r>
          </w:p>
        </w:tc>
      </w:tr>
      <w:tr>
        <w:tc>
          <w:tcPr>
            <w:tcW w:type="dxa" w:w="194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End screen</w:t>
            </w:r>
          </w:p>
        </w:tc>
        <w:tc>
          <w:tcPr>
            <w:tcW w:type="dxa" w:w="770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Watch Next is the final full-screen visual. Copy sits left so an end screen can sit right. No return to camera afterward.</w:t>
            </w:r>
          </w:p>
        </w:tc>
      </w:tr>
    </w:tbl>
    <w:p>
      <w:pPr>
        <w:spacing w:after="120"/>
      </w:pP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PUBLICATION CHECKLIST</w:t>
      </w:r>
    </w:p>
    <w:p>
      <w:pPr>
        <w:spacing w:after="100" w:line="278" w:lineRule="auto"/>
        <w:ind w:left="490" w:hanging="490"/>
      </w:pPr>
      <w:r>
        <w:rPr>
          <w:b/>
          <w:sz w:val="21"/>
        </w:rPr>
        <w:t xml:space="preserve">1.   </w:t>
      </w:r>
      <w:r>
        <w:rPr>
          <w:sz w:val="21"/>
        </w:rPr>
        <w:t>Thumbnail artwork approved separately, checked at 200 px wide. Artwork is NOT rebuilt by this pass.</w:t>
      </w:r>
    </w:p>
    <w:p>
      <w:pPr>
        <w:spacing w:after="100" w:line="278" w:lineRule="auto"/>
        <w:ind w:left="490" w:hanging="490"/>
      </w:pPr>
      <w:r>
        <w:rPr>
          <w:b/>
          <w:sz w:val="21"/>
        </w:rPr>
        <w:t xml:space="preserve">2.   </w:t>
      </w:r>
      <w:r>
        <w:rPr>
          <w:sz w:val="21"/>
        </w:rPr>
        <w:t>Title and thumbnail wording match the story-led script header.</w:t>
      </w:r>
    </w:p>
    <w:p>
      <w:pPr>
        <w:spacing w:after="100" w:line="278" w:lineRule="auto"/>
        <w:ind w:left="490" w:hanging="490"/>
      </w:pPr>
      <w:r>
        <w:rPr>
          <w:b/>
          <w:sz w:val="21"/>
        </w:rPr>
        <w:t xml:space="preserve">3.   </w:t>
      </w:r>
      <w:r>
        <w:rPr>
          <w:sz w:val="21"/>
        </w:rPr>
        <w:t>Description resource link tested while signed out.</w:t>
      </w:r>
    </w:p>
    <w:p>
      <w:pPr>
        <w:spacing w:after="100" w:line="278" w:lineRule="auto"/>
        <w:ind w:left="490" w:hanging="490"/>
      </w:pPr>
      <w:r>
        <w:rPr>
          <w:b/>
          <w:sz w:val="21"/>
        </w:rPr>
        <w:t xml:space="preserve">4.   </w:t>
      </w:r>
      <w:r>
        <w:rPr>
          <w:sz w:val="21"/>
        </w:rPr>
        <w:t>Watch Next URL inserted once that video is published. Not before.</w:t>
      </w:r>
    </w:p>
    <w:p>
      <w:pPr>
        <w:spacing w:after="100" w:line="278" w:lineRule="auto"/>
        <w:ind w:left="490" w:hanging="490"/>
      </w:pPr>
      <w:r>
        <w:rPr>
          <w:b/>
          <w:sz w:val="21"/>
        </w:rPr>
        <w:t xml:space="preserve">5.   </w:t>
      </w:r>
      <w:r>
        <w:rPr>
          <w:sz w:val="21"/>
        </w:rPr>
        <w:t>Captions: no burned-in subtitles. SRT from the final edited timeline.</w:t>
      </w:r>
    </w:p>
    <w:p>
      <w:pPr>
        <w:spacing w:after="100" w:line="278" w:lineRule="auto"/>
        <w:ind w:left="490" w:hanging="490"/>
      </w:pPr>
      <w:r>
        <w:rPr>
          <w:b/>
          <w:sz w:val="21"/>
        </w:rPr>
        <w:t xml:space="preserve">6.   </w:t>
      </w:r>
      <w:r>
        <w:rPr>
          <w:sz w:val="21"/>
        </w:rPr>
        <w:t>Chapters written from the actual final export. None exist yet.</w:t>
      </w:r>
    </w:p>
    <w:p>
      <w:pPr>
        <w:spacing w:after="100" w:line="278" w:lineRule="auto"/>
        <w:ind w:left="490" w:hanging="490"/>
      </w:pPr>
      <w:r>
        <w:rPr>
          <w:b/>
          <w:sz w:val="21"/>
        </w:rPr>
        <w:t xml:space="preserve">7.   </w:t>
      </w:r>
      <w:r>
        <w:rPr>
          <w:sz w:val="21"/>
        </w:rPr>
        <w:t>Music attribution from the actual track used. None is recorded here.</w:t>
      </w: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5A6B82"/>
        <w:sz w:val="16"/>
      </w:rPr>
      <w:t>Video 12 publishing materials  |  story-led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83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