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12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Editorial Check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What to Do When You Can’t Quit Your Job Yet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2:34 PM CT</w:t>
      </w:r>
    </w:p>
    <w:p>
      <w:pPr>
        <w:spacing w:after="80"/>
      </w:pPr>
      <w:r>
        <w:rPr>
          <w:b/>
          <w:color w:val="8A6D1E"/>
          <w:sz w:val="20"/>
        </w:rPr>
        <w:t xml:space="preserve">Spoken source  </w:t>
      </w:r>
      <w:r>
        <w:rPr>
          <w:sz w:val="21"/>
        </w:rPr>
        <w:t>Video_12_FINAL_Story_Led_Conversational_Recording_Script.docx  ·  SHA-256 c7eb1e687b9404a7968136601a9c6be78091153bbf5da824f8903942228018b3</w:t>
      </w:r>
    </w:p>
    <w:p>
      <w:pPr>
        <w:spacing w:after="80"/>
      </w:pPr>
      <w:r>
        <w:rPr>
          <w:b/>
          <w:color w:val="8A6D1E"/>
          <w:sz w:val="20"/>
        </w:rPr>
        <w:t xml:space="preserve">Runtime class  </w:t>
      </w:r>
      <w:r>
        <w:rPr>
          <w:sz w:val="21"/>
        </w:rPr>
        <w:t>REGULAR LONG-FORM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The story-led layer is how the viewer arrives, not a replacement for the standard. Painful problem, solution, viewer outcome still governs.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RECOGNIZABLE SITUATION</w:t>
      </w:r>
    </w:p>
    <w:p>
      <w:pPr>
        <w:spacing w:before="0" w:after="160"/>
      </w:pPr>
      <w:r>
        <w:rPr>
          <w:b w:val="0"/>
          <w:i w:val="0"/>
          <w:sz w:val="25"/>
        </w:rPr>
        <w:t>“Just leave.”</w:t>
      </w: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What makes the viewer recognize themselves. This is camera-led and nothing covers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PAINFUL PROBLEM</w:t>
      </w:r>
    </w:p>
    <w:p>
      <w:pPr>
        <w:spacing w:before="0" w:after="160"/>
      </w:pPr>
      <w:r>
        <w:rPr>
          <w:b w:val="0"/>
          <w:i w:val="0"/>
          <w:sz w:val="25"/>
        </w:rPr>
        <w:t>You cannot leave yet, and it is starting to feel as though nothing can change.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SOLUTION, DISTINCTION OR TOOL</w:t>
      </w:r>
    </w:p>
    <w:p>
      <w:pPr>
        <w:spacing w:before="0" w:after="160"/>
      </w:pPr>
      <w:r>
        <w:rPr>
          <w:b w:val="0"/>
          <w:i w:val="0"/>
          <w:sz w:val="25"/>
        </w:rPr>
        <w:t>Protect what must hold, bound what you can, prepare one possible next step, written as four lines with a review point.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VIEWER OUTCOME</w:t>
      </w:r>
    </w:p>
    <w:p>
      <w:pPr>
        <w:spacing w:before="0" w:after="160"/>
      </w:pPr>
      <w:r>
        <w:rPr>
          <w:b w:val="0"/>
          <w:i w:val="0"/>
          <w:sz w:val="25"/>
        </w:rPr>
        <w:t>You have a plan that fits the constraint you actually have, and a date or condition for revisiting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TESTS AGAINST THE STORY-LED SCRIPT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TEST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RESULT</w:t>
            </w:r>
          </w:p>
        </w:tc>
        <w:tc>
          <w:tcPr>
            <w:tcW w:type="dxa" w:w="460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MEASURED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Opens on a recognizable situation, not the framework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“Just leave.”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problem is the viewer's, not the presenter's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You cannot leave yet, and it is starting to feel as though nothing can change.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 solution or tool sits between problem and outcome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Protect what must hold, bound what you can, prepare one possible next step, writ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outcome is something the viewer can do afterward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You have a plan that fits the constraint you actually have, and a date or condit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video closes on the viewer, not the presenter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last 320 words: 0.0% first person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Experience is warrant, not the destination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1.0% of the script is first person, against a 4% ceiling (viewer-problem title)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video stays camera-led overall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17 camera stretches against 10 full-screen frames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WHAT THIS PAGE DOES NOT CLAIM</w:t>
      </w:r>
    </w:p>
    <w:p>
      <w:pPr>
        <w:spacing w:after="80" w:line="278" w:lineRule="auto"/>
        <w:ind w:left="547" w:hanging="230"/>
      </w:pPr>
      <w:r>
        <w:rPr>
          <w:sz w:val="21"/>
        </w:rPr>
        <w:t>•   It does not claim the video will retain, convert or rank.</w:t>
      </w:r>
    </w:p>
    <w:p>
      <w:pPr>
        <w:spacing w:after="80" w:line="278" w:lineRule="auto"/>
        <w:ind w:left="547" w:hanging="230"/>
      </w:pPr>
      <w:r>
        <w:rPr>
          <w:sz w:val="21"/>
        </w:rPr>
        <w:t>•   It does not claim that everything in Temidayo's experience transfers. Employer constraints, bias, markets, credentials, regulation, domain knowledge, relationships, compensation realities, genuine gaps and relearning all still apply.</w:t>
      </w:r>
    </w:p>
    <w:p>
      <w:pPr>
        <w:spacing w:after="80" w:line="278" w:lineRule="auto"/>
        <w:ind w:left="547" w:hanging="230"/>
      </w:pPr>
      <w:r>
        <w:rPr>
          <w:sz w:val="21"/>
        </w:rPr>
        <w:t>•   A pass means the structure holds, not that the script is finished. The September 13 script is the authority on the words.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12 editorial check  |  story-led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