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private lines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these privately. Nobody else needs to read them.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What must hold for now? Finish the sentence: for now, any change needs to protect...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What part of the current situation can I influence safely? Describe one recurring cost concretely.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What one question would make the next option clearer?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When will I review this again? Use a date or a real condition.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If capacity is very limited, keep only the first line and the review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If health, safety, harassment or discrimination is involved, appropriate support comes first.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exercise cannot interpret an employment agreement, benefits, immigration rules or a health decision.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