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Publishing Materials</w:t>
      </w:r>
    </w:p>
    <w:p>
      <w:pPr>
        <w:spacing w:before="0" w:after="280"/>
      </w:pPr>
      <w:r>
        <w:rPr>
          <w:b w:val="0"/>
          <w:i w:val="0"/>
          <w:color w:val="5A6B82"/>
          <w:sz w:val="20"/>
        </w:rPr>
        <w:t>Which Parts of Your Experience Actually Transfer to Another Industry?</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Video_14_FINAL_Story_Led_Conversational_Recording_Script.docx  ·  SHA-256 1e2f735018d24ee4ccc7a680379b48714bd990b329fdbd94d1d10b1b9b053c3f</w:t>
      </w:r>
    </w:p>
    <w:p>
      <w:pPr>
        <w:spacing w:before="200" w:after="200"/>
        <w:ind w:left="216"/>
        <w:pBdr>
          <w:left w:val="single" w:sz="18" w:color="9B2C10" w:space="8"/>
        </w:pBdr>
        <w:keepNext w:val="1"/>
        <w:keepLines w:val="1"/>
      </w:pPr>
      <w:r>
        <w:rPr>
          <w:b/>
          <w:color w:val="9B2C10"/>
          <w:sz w:val="21"/>
        </w:rPr>
        <w:t>Title and thumbnail wording are taken from the story-led script header.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Which Parts of Your Experience Actually Transfer to Another Industry?</w:t>
      </w:r>
    </w:p>
    <w:p>
      <w:pPr>
        <w:spacing w:before="320" w:after="120"/>
        <w:keepNext w:val="1"/>
        <w:keepLines w:val="1"/>
      </w:pPr>
      <w:r>
        <w:rPr>
          <w:b/>
          <w:i w:val="0"/>
          <w:color w:val="112345"/>
          <w:sz w:val="26"/>
        </w:rPr>
        <w:t>THUMBNAIL TEXT</w:t>
      </w:r>
    </w:p>
    <w:p>
      <w:pPr>
        <w:spacing w:before="0" w:after="160"/>
      </w:pPr>
      <w:r>
        <w:rPr>
          <w:b/>
          <w:i w:val="0"/>
          <w:color w:val="112345"/>
          <w:sz w:val="26"/>
        </w:rPr>
        <w:t>WHAT REALLY TRANSFERS?</w:t>
      </w:r>
    </w:p>
    <w:p>
      <w:pPr>
        <w:spacing w:before="320" w:after="120"/>
        <w:keepNext w:val="1"/>
        <w:keepLines w:val="1"/>
      </w:pPr>
      <w:r>
        <w:rPr>
          <w:b/>
          <w:i w:val="0"/>
          <w:color w:val="112345"/>
          <w:sz w:val="26"/>
        </w:rPr>
        <w:t>DESCRIPTION</w:t>
      </w:r>
    </w:p>
    <w:p>
      <w:pPr>
        <w:spacing w:before="0" w:after="160"/>
      </w:pPr>
      <w:r>
        <w:rPr>
          <w:b w:val="0"/>
          <w:i w:val="0"/>
          <w:sz w:val="22"/>
        </w:rPr>
        <w:t>Most transferable-skills advice stops at the words. This video compares what the words actually sit on top of.</w:t>
      </w:r>
    </w:p>
    <w:p>
      <w:pPr>
        <w:spacing w:before="0" w:after="160"/>
      </w:pPr>
      <w:r>
        <w:rPr>
          <w:b w:val="0"/>
          <w:i w:val="0"/>
          <w:sz w:val="22"/>
        </w:rPr>
        <w:t>Working from a structured reading of 28 senior program and project delivery job descriptions across healthcare, financial services and technology, all collected on September 10, 2026, it separates the delivery work that genuinely recurs across industries from the requirements that only look portable until you examine the decision underneath.</w:t>
      </w:r>
    </w:p>
    <w:p>
      <w:pPr>
        <w:spacing w:before="0" w:after="160"/>
      </w:pPr>
      <w:r>
        <w:rPr>
          <w:b w:val="0"/>
          <w:i w:val="0"/>
          <w:sz w:val="22"/>
        </w:rPr>
        <w:t>The test is two questions. What would this person actually have to decide? And what happens if they decide badly?</w:t>
      </w:r>
    </w:p>
    <w:p>
      <w:pPr>
        <w:spacing w:before="0" w:after="160"/>
      </w:pPr>
      <w:r>
        <w:rPr>
          <w:b w:val="0"/>
          <w:i w:val="0"/>
          <w:sz w:val="22"/>
        </w:rPr>
        <w:t>You will leave with a four-bucket audit for one destination role: what travels, what only looks similar, what must be learned, and what must be experienced.</w:t>
      </w:r>
    </w:p>
    <w:p>
      <w:pPr>
        <w:spacing w:before="0" w:after="160"/>
      </w:pPr>
      <w:r>
        <w:rPr>
          <w:b w:val="0"/>
          <w:i w:val="0"/>
          <w:sz w:val="22"/>
        </w:rPr>
        <w:t>A note on the evidence. 28 job descriptions are a convenience sample. They show what these employers chose to write down on one date. They do not represent the labor market, they do not prove two roles are interchangeable, and they cannot tell you who would be hired.</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15: The Career Gaps You Don't See Until the Work Gets Harder</w:t>
      </w:r>
    </w:p>
    <w:p>
      <w:pPr>
        <w:spacing w:before="0" w:after="160"/>
      </w:pPr>
      <w:r>
        <w:rPr>
          <w:b w:val="0"/>
          <w:i w:val="0"/>
          <w:color w:val="9B2C10"/>
          <w:sz w:val="20"/>
        </w:rPr>
        <w:t>[PLACEHOLDER] Insert the Watch Next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The two questions from this video, for one role you are considering:</w:t>
        <w:br/>
        <w:t>What would I actually have to decide? What happens if I decide badly?</w:t>
        <w:br/>
        <w:t>Then sort what you find into TRAVELS, LOOKS SIMILAR, MUST BE LEARNED, MUST BE EXPERIENCED.</w:t>
      </w:r>
    </w:p>
    <w:p>
      <w:pPr>
        <w:spacing w:before="0" w:after="160"/>
      </w:pPr>
      <w:r>
        <w:rPr>
          <w:b w:val="0"/>
          <w:i w:val="0"/>
          <w:sz w:val="22"/>
        </w:rPr>
        <w:t>On the evidence: 28 retained job descriptions, 10 healthcare, 10 financial services, 8 technology, all collected September 10, 2026. That is a convenience sample of what these employers wrote down. It does not represent the labor market and it cannot tell you who gets hired.</w:t>
      </w:r>
    </w:p>
    <w:p>
      <w:pPr>
        <w:spacing w:before="320" w:after="120"/>
        <w:keepNext w:val="1"/>
        <w:keepLines w:val="1"/>
      </w:pPr>
      <w:r>
        <w:rPr>
          <w:b/>
          <w:i w:val="0"/>
          <w:color w:val="112345"/>
          <w:sz w:val="26"/>
        </w:rPr>
        <w:t>TAGS</w:t>
      </w:r>
    </w:p>
    <w:p>
      <w:pPr>
        <w:spacing w:before="0" w:after="160"/>
      </w:pPr>
      <w:r>
        <w:rPr>
          <w:b w:val="0"/>
          <w:i w:val="0"/>
          <w:sz w:val="22"/>
        </w:rPr>
        <w:t>transferable skills, career change, changing industries, job description analysis, career pivot, program manager, project manager, senior individual contributor, career research, experienced professionals, industry transfer, career strategy</w:t>
      </w:r>
    </w:p>
    <w:p>
      <w:pPr>
        <w:spacing w:before="320" w:after="120"/>
        <w:keepNext w:val="1"/>
        <w:keepLines w:val="1"/>
      </w:pPr>
      <w:r>
        <w:rPr>
          <w:b/>
          <w:i w:val="0"/>
          <w:color w:val="112345"/>
          <w:sz w:val="26"/>
        </w:rPr>
        <w:t>HASHTAGS</w:t>
      </w:r>
    </w:p>
    <w:p>
      <w:pPr>
        <w:spacing w:before="0" w:after="160"/>
      </w:pPr>
      <w:r>
        <w:rPr>
          <w:b/>
          <w:i w:val="0"/>
          <w:sz w:val="24"/>
        </w:rPr>
        <w:t>#CareerChange  #TransferableSkills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script names no resource route.</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15: The Career Gaps You Don't See Until the Work Gets Harder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Copy sits left so an end screen can sit right. No return to camera afterward.</w:t>
            </w:r>
          </w:p>
        </w:tc>
      </w:tr>
    </w:tbl>
    <w:p>
      <w:pPr>
        <w:spacing w:after="120"/>
      </w:pPr>
    </w:p>
    <w:p>
      <w:pPr>
        <w:spacing w:before="320" w:after="120"/>
        <w:keepNext w:val="1"/>
        <w:keepLines w:val="1"/>
      </w:pPr>
      <w:r>
        <w:rPr>
          <w:b/>
          <w:i w:val="0"/>
          <w:color w:val="112345"/>
          <w:sz w:val="26"/>
        </w:rPr>
        <w:t>PUBLICATION CHECKLIST</w:t>
      </w:r>
    </w:p>
    <w:p>
      <w:pPr>
        <w:spacing w:after="100" w:line="278" w:lineRule="auto"/>
        <w:ind w:left="490" w:hanging="490"/>
      </w:pPr>
      <w:r>
        <w:rPr>
          <w:b/>
          <w:sz w:val="21"/>
        </w:rPr>
        <w:t xml:space="preserve">1.   </w:t>
      </w:r>
      <w:r>
        <w:rPr>
          <w:sz w:val="21"/>
        </w:rPr>
        <w:t>Thumbnail artwork approved separately, checked at 200 px wide. Artwork is NOT rebuilt by this pass.</w:t>
      </w:r>
    </w:p>
    <w:p>
      <w:pPr>
        <w:spacing w:after="100" w:line="278" w:lineRule="auto"/>
        <w:ind w:left="490" w:hanging="490"/>
      </w:pPr>
      <w:r>
        <w:rPr>
          <w:b/>
          <w:sz w:val="21"/>
        </w:rPr>
        <w:t xml:space="preserve">2.   </w:t>
      </w:r>
      <w:r>
        <w:rPr>
          <w:sz w:val="21"/>
        </w:rPr>
        <w:t>Title and thumbnail wording match the story-led script header.</w:t>
      </w:r>
    </w:p>
    <w:p>
      <w:pPr>
        <w:spacing w:after="100" w:line="278" w:lineRule="auto"/>
        <w:ind w:left="490" w:hanging="490"/>
      </w:pPr>
      <w:r>
        <w:rPr>
          <w:b/>
          <w:sz w:val="21"/>
        </w:rPr>
        <w:t xml:space="preserve">3.   </w:t>
      </w:r>
      <w:r>
        <w:rPr>
          <w:sz w:val="21"/>
        </w:rPr>
        <w:t>No resource link appears anywhere, because the script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SRT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from the actual track used. None is recorded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publishing materials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