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14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Audit one destination role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Which Parts of Your Experience Actually Transfer to Another Industry?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2:34 PM CT</w:t>
      </w:r>
    </w:p>
    <w:p>
      <w:pPr>
        <w:spacing w:after="80"/>
      </w:pPr>
      <w:r>
        <w:rPr>
          <w:b/>
          <w:color w:val="8A6D1E"/>
          <w:sz w:val="20"/>
        </w:rPr>
        <w:t xml:space="preserve">Runtime class  </w:t>
      </w:r>
      <w:r>
        <w:rPr>
          <w:sz w:val="21"/>
        </w:rPr>
        <w:t>REGULAR LONG-FORM</w:t>
      </w:r>
    </w:p>
    <w:p>
      <w:pPr>
        <w:spacing w:after="80"/>
      </w:pPr>
      <w:r>
        <w:rPr>
          <w:b/>
          <w:color w:val="8A6D1E"/>
          <w:sz w:val="20"/>
        </w:rPr>
        <w:t xml:space="preserve">Resource  </w:t>
      </w:r>
      <w:r>
        <w:rPr>
          <w:sz w:val="21"/>
        </w:rPr>
        <w:t>None. This video names no resource and none is added.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This exercise is the artifact the script already asks for. It adds no new claim, no new framework and no new offer.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DO THIS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1.   </w:t>
      </w:r>
      <w:r>
        <w:rPr>
          <w:sz w:val="21"/>
        </w:rPr>
        <w:t>Choose ONE role you are actually considering. Not an industry.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2.   </w:t>
      </w:r>
      <w:r>
        <w:rPr>
          <w:sz w:val="21"/>
        </w:rPr>
        <w:t>List every requirement in the posting that looks familiar.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3.   </w:t>
      </w:r>
      <w:r>
        <w:rPr>
          <w:sz w:val="21"/>
        </w:rPr>
        <w:t>For each one, answer two questions. What would I actually have to decide? What happens if I decide badly?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4.   </w:t>
      </w:r>
      <w:r>
        <w:rPr>
          <w:sz w:val="21"/>
        </w:rPr>
        <w:t>Sort each answer into one of four buckets: TRAVELS, LOOKS SIMILAR, MUST BE LEARNED, MUST BE EXPERIENCED.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5.   </w:t>
      </w:r>
      <w:r>
        <w:rPr>
          <w:sz w:val="21"/>
        </w:rPr>
        <w:t>Look at the TRAVELS column and write the evidence you already have for each item.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6.   </w:t>
      </w:r>
      <w:r>
        <w:rPr>
          <w:sz w:val="21"/>
        </w:rPr>
        <w:t>Look at the MUST BE LEARNED column and pick the one item you would start this month.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7.   </w:t>
      </w:r>
      <w:r>
        <w:rPr>
          <w:sz w:val="21"/>
        </w:rPr>
        <w:t>Look at the MUST BE EXPERIENCED column and write honestly what access or practice it would require.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WHAT THIS EXERCISE CANNOT DO</w:t>
      </w:r>
    </w:p>
    <w:p>
      <w:pPr>
        <w:spacing w:after="80" w:line="278" w:lineRule="auto"/>
        <w:ind w:left="547" w:hanging="230"/>
      </w:pPr>
      <w:r>
        <w:rPr>
          <w:sz w:val="21"/>
        </w:rPr>
        <w:t>•   A posting is a recruiting document, not a description of the work.</w:t>
      </w:r>
    </w:p>
    <w:p>
      <w:pPr>
        <w:spacing w:after="80" w:line="278" w:lineRule="auto"/>
        <w:ind w:left="547" w:hanging="230"/>
      </w:pPr>
      <w:r>
        <w:rPr>
          <w:sz w:val="21"/>
        </w:rPr>
        <w:t>•   Similar wording does not make two roles interchangeable.</w:t>
      </w:r>
    </w:p>
    <w:p>
      <w:pPr>
        <w:spacing w:after="80" w:line="278" w:lineRule="auto"/>
        <w:ind w:left="547" w:hanging="230"/>
      </w:pPr>
      <w:r>
        <w:rPr>
          <w:sz w:val="21"/>
        </w:rPr>
        <w:t>•   This exercise cannot tell you whether you would be hired.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WHERE IT GOES</w:t>
      </w:r>
    </w:p>
    <w:p>
      <w:pPr>
        <w:spacing w:before="0" w:after="160"/>
      </w:pPr>
      <w:r>
        <w:rPr>
          <w:b w:val="0"/>
          <w:i w:val="0"/>
          <w:sz w:val="22"/>
        </w:rPr>
        <w:t>Keep it somewhere you will reread it. The value is in having written it down, not in the format.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14 viewer exercise  |  aligned to the locked final master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