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20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Publishing Materials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How to Return After a Career Break Without Starting at Zero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2:34 PM CT</w:t>
      </w:r>
    </w:p>
    <w:p>
      <w:pPr>
        <w:spacing w:after="80"/>
      </w:pPr>
      <w:r>
        <w:rPr>
          <w:b/>
          <w:color w:val="8A6D1E"/>
          <w:sz w:val="20"/>
        </w:rPr>
        <w:t xml:space="preserve">Spoken source  </w:t>
      </w:r>
      <w:r>
        <w:rPr>
          <w:sz w:val="21"/>
        </w:rPr>
        <w:t>Video_20_FINAL_Story_Led_Conversational_Recording_Script.docx  ·  SHA-256 0030e35d3268922b40e285893cf838237d8254ab01ece97eb620e68d8f7e0fa8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Title and thumbnail wording are taken from the story-led script header. No URL, chapter timestamp, music credit or performance claim is invented anywhere in this document.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YOUTUBE TITLE</w:t>
      </w:r>
    </w:p>
    <w:p>
      <w:pPr>
        <w:spacing w:before="0" w:after="160"/>
      </w:pPr>
      <w:r>
        <w:rPr>
          <w:b/>
          <w:i w:val="0"/>
          <w:color w:val="112345"/>
          <w:sz w:val="26"/>
        </w:rPr>
        <w:t>How to Return After a Career Break Without Starting at Zero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THUMBNAIL TEXT</w:t>
      </w:r>
    </w:p>
    <w:p>
      <w:pPr>
        <w:spacing w:before="0" w:after="160"/>
      </w:pPr>
      <w:r>
        <w:rPr>
          <w:b/>
          <w:i w:val="0"/>
          <w:color w:val="112345"/>
          <w:sz w:val="26"/>
        </w:rPr>
        <w:t>WHAT STILL COUNTS NOW?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DESCRIPTION</w:t>
      </w:r>
    </w:p>
    <w:p>
      <w:pPr>
        <w:spacing w:before="0" w:after="160"/>
      </w:pPr>
      <w:r>
        <w:rPr>
          <w:b w:val="0"/>
          <w:i w:val="0"/>
          <w:sz w:val="22"/>
        </w:rPr>
        <w:t>Returning after a career break is not mainly about finding the perfect sentence to explain the gap. The explanation matters. It is not the whole return.</w:t>
      </w:r>
    </w:p>
    <w:p>
      <w:pPr>
        <w:spacing w:before="0" w:after="160"/>
      </w:pPr>
      <w:r>
        <w:rPr>
          <w:b w:val="0"/>
          <w:i w:val="0"/>
          <w:sz w:val="22"/>
        </w:rPr>
        <w:t>This video sorts what you carry into three buckets: still current, needs updating, and needs rebuilding. And it holds on to one distinction that saves people a great deal of wasted effort. Unproven is not the same as absent.</w:t>
      </w:r>
    </w:p>
    <w:p>
      <w:pPr>
        <w:spacing w:before="0" w:after="160"/>
      </w:pPr>
      <w:r>
        <w:rPr>
          <w:b w:val="0"/>
          <w:i w:val="0"/>
          <w:sz w:val="22"/>
        </w:rPr>
        <w:t>It is honest about the market. Bias against career breaks exists, and a better explanation does not make every employer fair. Some routes back may involve a different title, scope or compensation, which is a tradeoff to evaluate rather than a measurement of your worth.</w:t>
      </w:r>
    </w:p>
    <w:p>
      <w:pPr>
        <w:spacing w:before="200" w:after="80"/>
      </w:pPr>
      <w:r>
        <w:rPr>
          <w:b/>
          <w:i w:val="0"/>
          <w:color w:val="8A6D1E"/>
          <w:sz w:val="18"/>
        </w:rPr>
        <w:t>RESOURCE LINE, paste as the last block:</w:t>
      </w:r>
    </w:p>
    <w:p>
      <w:pPr>
        <w:spacing w:before="0" w:after="160"/>
      </w:pPr>
      <w:r>
        <w:rPr>
          <w:b/>
          <w:i w:val="0"/>
          <w:sz w:val="22"/>
        </w:rPr>
        <w:t>Capability Formation Field Kit: https://temidayoafonja.com/fieldkit</w:t>
      </w:r>
    </w:p>
    <w:p>
      <w:pPr>
        <w:spacing w:before="0" w:after="160"/>
      </w:pPr>
      <w:r>
        <w:rPr>
          <w:b w:val="0"/>
          <w:i w:val="0"/>
          <w:color w:val="5A6B82"/>
          <w:sz w:val="20"/>
        </w:rPr>
        <w:t>WATCH NEXT LINE: Video 4: I Was First in 3 New Roles in 5 Years. Here's What I Stopped Doing.</w:t>
      </w:r>
    </w:p>
    <w:p>
      <w:pPr>
        <w:spacing w:before="0" w:after="160"/>
      </w:pPr>
      <w:r>
        <w:rPr>
          <w:b w:val="0"/>
          <w:i w:val="0"/>
          <w:color w:val="9B2C10"/>
          <w:sz w:val="20"/>
        </w:rPr>
        <w:t>[PLACEHOLDER] Insert the Watch Next URL after that video is published. Do not invent a URL.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PINNED COMMENT</w:t>
      </w:r>
    </w:p>
    <w:p>
      <w:pPr>
        <w:spacing w:before="0" w:after="160"/>
      </w:pPr>
      <w:r>
        <w:rPr>
          <w:b w:val="0"/>
          <w:i w:val="0"/>
          <w:sz w:val="22"/>
        </w:rPr>
        <w:t>Two short lists.</w:t>
        <w:br/>
        <w:t>What is current now, with evidence for each item.</w:t>
        <w:br/>
        <w:t>What you are rebuilding now, with a date attached.</w:t>
      </w:r>
    </w:p>
    <w:p>
      <w:pPr>
        <w:spacing w:before="0" w:after="160"/>
      </w:pPr>
      <w:r>
        <w:rPr>
          <w:b w:val="0"/>
          <w:i w:val="0"/>
          <w:sz w:val="22"/>
        </w:rPr>
        <w:t>The date is the part entirely within your control.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TAGS</w:t>
      </w:r>
    </w:p>
    <w:p>
      <w:pPr>
        <w:spacing w:before="0" w:after="160"/>
      </w:pPr>
      <w:r>
        <w:rPr>
          <w:b w:val="0"/>
          <w:i w:val="0"/>
          <w:sz w:val="22"/>
        </w:rPr>
        <w:t>career break, returning to work, career gap, return to work, maternity leave return, career restart, returnship, experienced professionals, career reentry, career strategy, mid career, employment gap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HASHTAGS</w:t>
      </w:r>
    </w:p>
    <w:p>
      <w:pPr>
        <w:spacing w:before="0" w:after="160"/>
      </w:pPr>
      <w:r>
        <w:rPr>
          <w:b/>
          <w:i w:val="0"/>
          <w:sz w:val="24"/>
        </w:rPr>
        <w:t>#CareerBreak  #ReturnToWork  #CapabilityFormation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RESOURCE ROUTE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273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RESOURCE</w:t>
            </w:r>
          </w:p>
        </w:tc>
        <w:tc>
          <w:tcPr>
            <w:tcW w:type="dxa" w:w="302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WHERE IT LIVES</w:t>
            </w:r>
          </w:p>
        </w:tc>
        <w:tc>
          <w:tcPr>
            <w:tcW w:type="dxa" w:w="388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HOW IT IS USED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Capability Formation Field Kit</w:t>
            </w:r>
          </w:p>
        </w:tc>
        <w:tc>
          <w:tcPr>
            <w:tcW w:type="dxa" w:w="30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temidayoafonja.com/fieldkit</w:t>
            </w:r>
          </w:p>
        </w:tc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Spoken once, after the teaching. One primary CTA. No second offer is added.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WATCH NEXT AND PLAYLIST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194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FIELD</w:t>
            </w:r>
          </w:p>
        </w:tc>
        <w:tc>
          <w:tcPr>
            <w:tcW w:type="dxa" w:w="770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VALUE</w:t>
            </w:r>
          </w:p>
        </w:tc>
      </w:tr>
      <w:tr>
        <w:tc>
          <w:tcPr>
            <w:tcW w:type="dxa" w:w="19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Watch Next</w:t>
            </w:r>
          </w:p>
        </w:tc>
        <w:tc>
          <w:tcPr>
            <w:tcW w:type="dxa" w:w="77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Video 4: I Was First in 3 New Roles in 5 Years. Here's What I Stopped Doing.</w:t>
            </w:r>
          </w:p>
        </w:tc>
      </w:tr>
      <w:tr>
        <w:tc>
          <w:tcPr>
            <w:tcW w:type="dxa" w:w="19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Where that comes from</w:t>
            </w:r>
          </w:p>
        </w:tc>
        <w:tc>
          <w:tcPr>
            <w:tcW w:type="dxa" w:w="77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the Watch Next card in the production deck</w:t>
            </w:r>
          </w:p>
        </w:tc>
      </w:tr>
      <w:tr>
        <w:tc>
          <w:tcPr>
            <w:tcW w:type="dxa" w:w="19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Playlist</w:t>
            </w:r>
          </w:p>
        </w:tc>
        <w:tc>
          <w:tcPr>
            <w:tcW w:type="dxa" w:w="77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Capability Formation: career pivots and internal moves</w:t>
            </w:r>
          </w:p>
        </w:tc>
      </w:tr>
      <w:tr>
        <w:tc>
          <w:tcPr>
            <w:tcW w:type="dxa" w:w="19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End screen</w:t>
            </w:r>
          </w:p>
        </w:tc>
        <w:tc>
          <w:tcPr>
            <w:tcW w:type="dxa" w:w="77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Watch Next is the final full-screen visual. Copy sits left so an end screen can sit right. No return to camera afterward.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PUBLICATION CHECKLIST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1.   </w:t>
      </w:r>
      <w:r>
        <w:rPr>
          <w:sz w:val="21"/>
        </w:rPr>
        <w:t>Thumbnail artwork approved separately, checked at 200 px wide. Artwork is NOT rebuilt by this pass.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2.   </w:t>
      </w:r>
      <w:r>
        <w:rPr>
          <w:sz w:val="21"/>
        </w:rPr>
        <w:t>Title and thumbnail wording match the story-led script header.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3.   </w:t>
      </w:r>
      <w:r>
        <w:rPr>
          <w:sz w:val="21"/>
        </w:rPr>
        <w:t>Description resource link tested while signed out.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4.   </w:t>
      </w:r>
      <w:r>
        <w:rPr>
          <w:sz w:val="21"/>
        </w:rPr>
        <w:t>Watch Next URL inserted once that video is published. Not before.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5.   </w:t>
      </w:r>
      <w:r>
        <w:rPr>
          <w:sz w:val="21"/>
        </w:rPr>
        <w:t>Captions: no burned-in subtitles. SRT from the final edited timeline.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6.   </w:t>
      </w:r>
      <w:r>
        <w:rPr>
          <w:sz w:val="21"/>
        </w:rPr>
        <w:t>Chapters written from the actual final export. None exist yet.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7.   </w:t>
      </w:r>
      <w:r>
        <w:rPr>
          <w:sz w:val="21"/>
        </w:rPr>
        <w:t>Music attribution from the actual track used. None is recorded here.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20 publishing materials  |  story-led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