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Return After a Career Break Without Starting at Zero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Video_20_FINAL_Story_Led_Conversational_Recording_Script.docx  ·  SHA-256 0030e35d3268922b40e285893cf838237d8254ab01ece97eb620e68d8f7e0fa8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After one of my maternity leaves, I came back to work while still trying to find my rhythm again.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are returning after a break and the gap is the first thing everyone asks about.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Six categories, and the distinction between unproven and absent.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have a two-part record: what is current with its evidence, and what you are rebuilding now with a date.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After one of my maternity leaves, I came back to work while still trying to find my rhythm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are returning after a break and the gap is the first thing everyone asks abo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Six categories, and the distinction between unproven and absent.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 xml:space="preserve">You have a two-part record: what is current with its evidence, and what you are 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0.0%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1.1%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