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21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Do not prepare for the easiest layer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Systems and tooling are often the most visible gaps, because they have names.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Systems and tooling are often the most visible gaps, because they have names.</w:t>
      </w:r>
    </w:p>
    <w:p>
      <w:pPr>
        <w:spacing w:before="0" w:after="200" w:line="322" w:lineRule="auto"/>
      </w:pPr>
      <w:r>
        <w:rPr>
          <w:sz w:val="25"/>
        </w:rPr>
        <w:t>New platforms. New internal systems. Different workflows.</w:t>
      </w:r>
    </w:p>
    <w:p>
      <w:pPr>
        <w:spacing w:before="0" w:after="200" w:line="322" w:lineRule="auto"/>
      </w:pPr>
      <w:r>
        <w:rPr>
          <w:sz w:val="25"/>
        </w:rPr>
        <w:t>Some of it can be learned relatively directly through documentation, training, or guided use.</w:t>
      </w:r>
    </w:p>
    <w:p>
      <w:pPr>
        <w:spacing w:before="0" w:after="200" w:line="322" w:lineRule="auto"/>
      </w:pPr>
      <w:r>
        <w:rPr>
          <w:sz w:val="25"/>
        </w:rPr>
        <w:t>So do not spend all your preparation time on the easiest-to-name layer while the harder context remains untouched.</w:t>
      </w:r>
    </w:p>
    <w:p>
      <w:pPr>
        <w:spacing w:before="0" w:after="200" w:line="322" w:lineRule="auto"/>
      </w:pPr>
      <w:r>
        <w:rPr>
          <w:sz w:val="25"/>
        </w:rPr>
        <w:t>Relationships, internal history, and how decisions get made are the layers that take longer and get skipped.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Give the harder layers real preparation time.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named layer beside the unnamed ones.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V21 systems and tooling.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21 Short  |  v21_a4_easiest_layer_trap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