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b/>
          <w:i w:val="0"/>
          <w:color w:val="8A6D1E"/>
          <w:sz w:val="18"/>
        </w:rPr>
        <w:t>CAPABILITY FORMATION  |  VIDEO 21</w:t>
      </w:r>
    </w:p>
    <w:p>
      <w:pPr>
        <w:spacing w:before="0" w:after="80"/>
      </w:pPr>
      <w:r>
        <w:rPr>
          <w:b/>
          <w:i w:val="0"/>
          <w:color w:val="112345"/>
          <w:sz w:val="42"/>
        </w:rPr>
        <w:t>Editorial Check</w:t>
      </w:r>
    </w:p>
    <w:p>
      <w:pPr>
        <w:spacing w:before="0" w:after="280"/>
      </w:pPr>
      <w:r>
        <w:rPr>
          <w:b w:val="0"/>
          <w:i w:val="0"/>
          <w:color w:val="5A6B82"/>
          <w:sz w:val="20"/>
        </w:rPr>
        <w:t>What You Must Relearn When You Change Industries</w:t>
      </w:r>
    </w:p>
    <w:p>
      <w:pPr>
        <w:spacing w:before="0" w:after="240"/>
        <w:pBdr>
          <w:bottom w:val="single" w:sz="6" w:color="8A6D1E"/>
        </w:pBdr>
      </w:pPr>
    </w:p>
    <w:p>
      <w:pPr>
        <w:spacing w:after="80"/>
      </w:pPr>
      <w:r>
        <w:rPr>
          <w:b/>
          <w:color w:val="8A6D1E"/>
          <w:sz w:val="20"/>
        </w:rPr>
        <w:t xml:space="preserve">Generated  </w:t>
      </w:r>
      <w:r>
        <w:rPr>
          <w:sz w:val="21"/>
        </w:rPr>
        <w:t>Sunday, September 13, 2026 | 2:34 PM CT</w:t>
      </w:r>
    </w:p>
    <w:p>
      <w:pPr>
        <w:spacing w:after="80"/>
      </w:pPr>
      <w:r>
        <w:rPr>
          <w:b/>
          <w:color w:val="8A6D1E"/>
          <w:sz w:val="20"/>
        </w:rPr>
        <w:t xml:space="preserve">Spoken source  </w:t>
      </w:r>
      <w:r>
        <w:rPr>
          <w:sz w:val="21"/>
        </w:rPr>
        <w:t>Video_21_FINAL_Story_Led_Conversational_Recording_Script.docx  ·  SHA-256 a78f0507f661cc21d98ceae2bb3515a0801b1af2775ed545ddb2044d2e3c24ec</w:t>
      </w:r>
    </w:p>
    <w:p>
      <w:pPr>
        <w:spacing w:after="80"/>
      </w:pPr>
      <w:r>
        <w:rPr>
          <w:b/>
          <w:color w:val="8A6D1E"/>
          <w:sz w:val="20"/>
        </w:rPr>
        <w:t xml:space="preserve">Runtime class  </w:t>
      </w:r>
      <w:r>
        <w:rPr>
          <w:sz w:val="21"/>
        </w:rPr>
        <w:t>REGULAR LONG-FORM</w:t>
      </w:r>
    </w:p>
    <w:p>
      <w:pPr>
        <w:spacing w:before="200" w:after="200"/>
        <w:ind w:left="216"/>
        <w:pBdr>
          <w:left w:val="single" w:sz="18" w:color="9B2C10" w:space="8"/>
        </w:pBdr>
        <w:keepNext w:val="1"/>
        <w:keepLines w:val="1"/>
      </w:pPr>
      <w:r>
        <w:rPr>
          <w:b/>
          <w:color w:val="9B2C10"/>
          <w:sz w:val="21"/>
        </w:rPr>
        <w:t>The story-led layer is how the viewer arrives, not a replacement for the standard. Painful problem, solution, viewer outcome still governs.</w:t>
      </w:r>
    </w:p>
    <w:p>
      <w:pPr>
        <w:spacing w:before="320" w:after="120"/>
        <w:keepNext w:val="1"/>
        <w:keepLines w:val="1"/>
      </w:pPr>
      <w:r>
        <w:rPr>
          <w:b/>
          <w:i w:val="0"/>
          <w:color w:val="112345"/>
          <w:sz w:val="26"/>
        </w:rPr>
        <w:t>RECOGNIZABLE SITUATION</w:t>
      </w:r>
    </w:p>
    <w:p>
      <w:pPr>
        <w:spacing w:before="0" w:after="160"/>
      </w:pPr>
      <w:r>
        <w:rPr>
          <w:b w:val="0"/>
          <w:i w:val="0"/>
          <w:sz w:val="25"/>
        </w:rPr>
        <w:t>You made the industry change.</w:t>
      </w:r>
    </w:p>
    <w:p>
      <w:pPr>
        <w:spacing w:before="100" w:after="200"/>
      </w:pPr>
      <w:r>
        <w:rPr>
          <w:b w:val="0"/>
          <w:i w:val="0"/>
          <w:color w:val="5A6B82"/>
          <w:sz w:val="19"/>
        </w:rPr>
        <w:t>What makes the viewer recognize themselves. This is camera-led and nothing covers it.</w:t>
      </w:r>
    </w:p>
    <w:p>
      <w:pPr>
        <w:spacing w:before="320" w:after="120"/>
        <w:keepNext w:val="1"/>
        <w:keepLines w:val="1"/>
      </w:pPr>
      <w:r>
        <w:rPr>
          <w:b/>
          <w:i w:val="0"/>
          <w:color w:val="112345"/>
          <w:sz w:val="26"/>
        </w:rPr>
        <w:t>PAINFUL PROBLEM</w:t>
      </w:r>
    </w:p>
    <w:p>
      <w:pPr>
        <w:spacing w:before="0" w:after="160"/>
      </w:pPr>
      <w:r>
        <w:rPr>
          <w:b w:val="0"/>
          <w:i w:val="0"/>
          <w:sz w:val="25"/>
        </w:rPr>
        <w:t>You changed industries, you can still do the work, and something else keeps catching you out.</w:t>
      </w:r>
    </w:p>
    <w:p>
      <w:pPr>
        <w:spacing w:before="320" w:after="120"/>
        <w:keepNext w:val="1"/>
        <w:keepLines w:val="1"/>
      </w:pPr>
      <w:r>
        <w:rPr>
          <w:b/>
          <w:i w:val="0"/>
          <w:color w:val="112345"/>
          <w:sz w:val="26"/>
        </w:rPr>
        <w:t>SOLUTION, DISTINCTION OR TOOL</w:t>
      </w:r>
    </w:p>
    <w:p>
      <w:pPr>
        <w:spacing w:before="0" w:after="160"/>
      </w:pPr>
      <w:r>
        <w:rPr>
          <w:b w:val="0"/>
          <w:i w:val="0"/>
          <w:sz w:val="25"/>
        </w:rPr>
        <w:t>A five-layer relearning inventory, ordered by what blocks contribution first.</w:t>
      </w:r>
    </w:p>
    <w:p>
      <w:pPr>
        <w:spacing w:before="320" w:after="120"/>
        <w:keepNext w:val="1"/>
        <w:keepLines w:val="1"/>
      </w:pPr>
      <w:r>
        <w:rPr>
          <w:b/>
          <w:i w:val="0"/>
          <w:color w:val="112345"/>
          <w:sz w:val="26"/>
        </w:rPr>
        <w:t>VIEWER OUTCOME</w:t>
      </w:r>
    </w:p>
    <w:p>
      <w:pPr>
        <w:spacing w:before="0" w:after="160"/>
      </w:pPr>
      <w:r>
        <w:rPr>
          <w:b w:val="0"/>
          <w:i w:val="0"/>
          <w:sz w:val="25"/>
        </w:rPr>
        <w:t>You know which layer to start with, and which parts you cannot read your way into.</w:t>
      </w:r>
    </w:p>
    <w:p>
      <w:pPr>
        <w:spacing w:before="320" w:after="120"/>
        <w:keepNext w:val="1"/>
        <w:keepLines w:val="1"/>
      </w:pPr>
      <w:r>
        <w:rPr>
          <w:b/>
          <w:i w:val="0"/>
          <w:color w:val="112345"/>
          <w:sz w:val="26"/>
        </w:rPr>
        <w:t>TESTS AGAINST THE STORY-LED SCRIPT</w:t>
      </w:r>
    </w:p>
    <w:tbl>
      <w:tblPr>
        <w:tblW w:type="auto" w:w="0"/>
        <w:jc w:val="left"/>
        <w:tblBorders>
          <w:top w:val="single" w:sz="4" w:space="0" w:color="C9BFA8"/>
          <w:left w:val="single" w:sz="4" w:space="0" w:color="C9BFA8"/>
          <w:bottom w:val="single" w:sz="4" w:space="0" w:color="C9BFA8"/>
          <w:right w:val="single" w:sz="4" w:space="0" w:color="C9BFA8"/>
          <w:insideH w:val="single" w:sz="4" w:space="0" w:color="C9BFA8"/>
          <w:insideV w:val="single" w:sz="4" w:space="0" w:color="C9BFA8"/>
        </w:tblBorders>
        <w:tblLayout w:type="fixed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rPr>
          <w:tblHeader w:val="true"/>
        </w:trPr>
        <w:tc>
          <w:tcPr>
            <w:tcW w:type="dxa" w:w="3888"/>
            <w:shd w:val="clear" w:color="auto" w:fill="F3EFE6"/>
          </w:tcPr>
          <w:p>
            <w:pPr>
              <w:spacing w:before="60" w:after="60" w:line="264" w:lineRule="auto"/>
            </w:pPr>
            <w:r/>
            <w:r>
              <w:rPr>
                <w:b/>
                <w:i w:val="0"/>
                <w:color w:val="112345"/>
                <w:sz w:val="17"/>
              </w:rPr>
              <w:t>TEST</w:t>
            </w:r>
          </w:p>
        </w:tc>
        <w:tc>
          <w:tcPr>
            <w:tcW w:type="dxa" w:w="1152"/>
            <w:shd w:val="clear" w:color="auto" w:fill="F3EFE6"/>
          </w:tcPr>
          <w:p>
            <w:pPr>
              <w:spacing w:before="60" w:after="60" w:line="264" w:lineRule="auto"/>
            </w:pPr>
            <w:r/>
            <w:r>
              <w:rPr>
                <w:b/>
                <w:i w:val="0"/>
                <w:color w:val="112345"/>
                <w:sz w:val="17"/>
              </w:rPr>
              <w:t>RESULT</w:t>
            </w:r>
          </w:p>
        </w:tc>
        <w:tc>
          <w:tcPr>
            <w:tcW w:type="dxa" w:w="4608"/>
            <w:shd w:val="clear" w:color="auto" w:fill="F3EFE6"/>
          </w:tcPr>
          <w:p>
            <w:pPr>
              <w:spacing w:before="60" w:after="60" w:line="264" w:lineRule="auto"/>
            </w:pPr>
            <w:r/>
            <w:r>
              <w:rPr>
                <w:b/>
                <w:i w:val="0"/>
                <w:color w:val="112345"/>
                <w:sz w:val="17"/>
              </w:rPr>
              <w:t>MEASURED</w:t>
            </w:r>
          </w:p>
        </w:tc>
      </w:tr>
      <w:tr>
        <w:tc>
          <w:tcPr>
            <w:tcW w:type="dxa" w:w="388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Opens on a recognizable situation, not the framework</w:t>
            </w:r>
          </w:p>
        </w:tc>
        <w:tc>
          <w:tcPr>
            <w:tcW w:type="dxa" w:w="115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PASS</w:t>
            </w:r>
          </w:p>
        </w:tc>
        <w:tc>
          <w:tcPr>
            <w:tcW w:type="dxa" w:w="460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You made the industry change.</w:t>
            </w:r>
          </w:p>
        </w:tc>
      </w:tr>
      <w:tr>
        <w:tc>
          <w:tcPr>
            <w:tcW w:type="dxa" w:w="388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The problem is the viewer's, not the presenter's</w:t>
            </w:r>
          </w:p>
        </w:tc>
        <w:tc>
          <w:tcPr>
            <w:tcW w:type="dxa" w:w="115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PASS</w:t>
            </w:r>
          </w:p>
        </w:tc>
        <w:tc>
          <w:tcPr>
            <w:tcW w:type="dxa" w:w="460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You changed industries, you can still do the work, and something else keeps catc</w:t>
            </w:r>
          </w:p>
        </w:tc>
      </w:tr>
      <w:tr>
        <w:tc>
          <w:tcPr>
            <w:tcW w:type="dxa" w:w="388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A solution or tool sits between problem and outcome</w:t>
            </w:r>
          </w:p>
        </w:tc>
        <w:tc>
          <w:tcPr>
            <w:tcW w:type="dxa" w:w="115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PASS</w:t>
            </w:r>
          </w:p>
        </w:tc>
        <w:tc>
          <w:tcPr>
            <w:tcW w:type="dxa" w:w="460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A five-layer relearning inventory, ordered by what blocks contribution first.</w:t>
            </w:r>
          </w:p>
        </w:tc>
      </w:tr>
      <w:tr>
        <w:tc>
          <w:tcPr>
            <w:tcW w:type="dxa" w:w="388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The outcome is something the viewer can do afterward</w:t>
            </w:r>
          </w:p>
        </w:tc>
        <w:tc>
          <w:tcPr>
            <w:tcW w:type="dxa" w:w="115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PASS</w:t>
            </w:r>
          </w:p>
        </w:tc>
        <w:tc>
          <w:tcPr>
            <w:tcW w:type="dxa" w:w="460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You know which layer to start with, and which parts you cannot read your way int</w:t>
            </w:r>
          </w:p>
        </w:tc>
      </w:tr>
      <w:tr>
        <w:tc>
          <w:tcPr>
            <w:tcW w:type="dxa" w:w="388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The video closes on the viewer, not the presenter</w:t>
            </w:r>
          </w:p>
        </w:tc>
        <w:tc>
          <w:tcPr>
            <w:tcW w:type="dxa" w:w="115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PASS</w:t>
            </w:r>
          </w:p>
        </w:tc>
        <w:tc>
          <w:tcPr>
            <w:tcW w:type="dxa" w:w="460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last 320 words: 1.2% first person</w:t>
            </w:r>
          </w:p>
        </w:tc>
      </w:tr>
      <w:tr>
        <w:tc>
          <w:tcPr>
            <w:tcW w:type="dxa" w:w="388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Experience is warrant, not the destination</w:t>
            </w:r>
          </w:p>
        </w:tc>
        <w:tc>
          <w:tcPr>
            <w:tcW w:type="dxa" w:w="115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PASS</w:t>
            </w:r>
          </w:p>
        </w:tc>
        <w:tc>
          <w:tcPr>
            <w:tcW w:type="dxa" w:w="460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0.6% of the script is first person, against a 4% ceiling (viewer-problem title)</w:t>
            </w:r>
          </w:p>
        </w:tc>
      </w:tr>
      <w:tr>
        <w:tc>
          <w:tcPr>
            <w:tcW w:type="dxa" w:w="388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The video stays camera-led overall</w:t>
            </w:r>
          </w:p>
        </w:tc>
        <w:tc>
          <w:tcPr>
            <w:tcW w:type="dxa" w:w="115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PASS</w:t>
            </w:r>
          </w:p>
        </w:tc>
        <w:tc>
          <w:tcPr>
            <w:tcW w:type="dxa" w:w="460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16 camera stretches against 10 full-screen frames</w:t>
            </w:r>
          </w:p>
        </w:tc>
      </w:tr>
    </w:tbl>
    <w:p>
      <w:pPr>
        <w:spacing w:after="120"/>
      </w:pPr>
    </w:p>
    <w:p>
      <w:pPr>
        <w:spacing w:before="320" w:after="120"/>
        <w:keepNext w:val="1"/>
        <w:keepLines w:val="1"/>
      </w:pPr>
      <w:r>
        <w:rPr>
          <w:b/>
          <w:i w:val="0"/>
          <w:color w:val="112345"/>
          <w:sz w:val="26"/>
        </w:rPr>
        <w:t>WHAT THIS PAGE DOES NOT CLAIM</w:t>
      </w:r>
    </w:p>
    <w:p>
      <w:pPr>
        <w:spacing w:after="80" w:line="278" w:lineRule="auto"/>
        <w:ind w:left="547" w:hanging="230"/>
      </w:pPr>
      <w:r>
        <w:rPr>
          <w:sz w:val="21"/>
        </w:rPr>
        <w:t>•   It does not claim the video will retain, convert or rank.</w:t>
      </w:r>
    </w:p>
    <w:p>
      <w:pPr>
        <w:spacing w:after="80" w:line="278" w:lineRule="auto"/>
        <w:ind w:left="547" w:hanging="230"/>
      </w:pPr>
      <w:r>
        <w:rPr>
          <w:sz w:val="21"/>
        </w:rPr>
        <w:t>•   It does not claim that everything in Temidayo's experience transfers. Employer constraints, bias, markets, credentials, regulation, domain knowledge, relationships, compensation realities, genuine gaps and relearning all still apply.</w:t>
      </w:r>
    </w:p>
    <w:p>
      <w:pPr>
        <w:spacing w:after="80" w:line="278" w:lineRule="auto"/>
        <w:ind w:left="547" w:hanging="230"/>
      </w:pPr>
      <w:r>
        <w:rPr>
          <w:sz w:val="21"/>
        </w:rPr>
        <w:t>•   A pass means the structure holds, not that the script is finished. The September 13 script is the authority on the words.</w:t>
      </w:r>
    </w:p>
    <w:sectPr w:rsidR="00FC693F" w:rsidRPr="0006063C" w:rsidSect="00034616">
      <w:footerReference w:type="default" r:id="rId9"/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5A6B82"/>
        <w:sz w:val="16"/>
      </w:rPr>
      <w:t>Video 21 editorial check  |  story-led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83" w:lineRule="auto"/>
    </w:pPr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