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Recording Run of Show</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249</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STOP 1: STOP WAITING FOR THE TITLE TO MATCH</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STOP 2: STOP PROVING YOURSELF WITH A TASK LIST</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STOP 3: STOP TREATING THE LEARNING GAP LIKE A NO</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THE 3-LINE READINESS CASE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CLOSE</w:t>
            </w:r>
          </w:p>
        </w:tc>
        <w:tc>
          <w:tcPr>
            <w:tcW w:type="dxa" w:w="1728"/>
          </w:tcPr>
          <w:p>
            <w:pPr>
              <w:spacing w:before="60" w:after="60" w:line="264" w:lineRule="auto"/>
            </w:pPr>
            <w:r/>
            <w:r>
              <w:rPr>
                <w:b w:val="0"/>
                <w:i w:val="0"/>
                <w:sz w:val="18"/>
              </w:rPr>
              <w:t>69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