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9</w:t>
      </w:r>
    </w:p>
    <w:p>
      <w:pPr>
        <w:spacing w:before="0" w:after="80"/>
      </w:pPr>
      <w:r>
        <w:rPr>
          <w:b/>
          <w:i w:val="0"/>
          <w:color w:val="112345"/>
          <w:sz w:val="42"/>
        </w:rPr>
        <w:t>Recording Run of Show</w:t>
      </w:r>
    </w:p>
    <w:p>
      <w:pPr>
        <w:spacing w:before="0" w:after="280"/>
      </w:pPr>
      <w:r>
        <w:rPr>
          <w:b w:val="0"/>
          <w:i w:val="0"/>
          <w:color w:val="5A6B82"/>
          <w:sz w:val="20"/>
        </w:rPr>
        <w:t>How to Change Industries Without Starting Over</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Video_9_FINAL_Story_Led_Conversational_Recording_Script.docx  ·  SHA-256 fecf057ccfbb96b9eb17414c86a60dd1e7592936483b705633e20ec09f4516b6</w:t>
      </w:r>
    </w:p>
    <w:p>
      <w:pPr>
        <w:spacing w:after="80"/>
      </w:pPr>
      <w:r>
        <w:rPr>
          <w:b/>
          <w:color w:val="8A6D1E"/>
          <w:sz w:val="20"/>
        </w:rPr>
        <w:t xml:space="preserve">Recording copy  </w:t>
      </w:r>
      <w:r>
        <w:rPr>
          <w:sz w:val="21"/>
        </w:rPr>
        <w:t>Video_9_Thought_Block_Recording_Copy_Story_Led.docx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8:48 to 9:49 at 130 to 145 words per minute, from 1278 spoken words</w:t>
      </w:r>
    </w:p>
    <w:p>
      <w:pPr>
        <w:spacing w:before="100" w:after="200"/>
      </w:pPr>
      <w:r>
        <w:rPr>
          <w:b w:val="0"/>
          <w:i w:val="0"/>
          <w:color w:val="5A6B82"/>
          <w:sz w:val="19"/>
        </w:rPr>
        <w:t>That range is arithmetic on the script. It is not a runtime and not a target. The actual length is whatever Temidayo's natural delivery produces, and it is observed after recording, not before.</w:t>
      </w:r>
    </w:p>
    <w:p>
      <w:pPr>
        <w:spacing w:before="200" w:after="200"/>
        <w:ind w:left="216"/>
        <w:pBdr>
          <w:left w:val="single" w:sz="18" w:color="9B2C10" w:space="8"/>
        </w:pBdr>
        <w:keepNext w:val="1"/>
        <w:keepLines w:val="1"/>
      </w:pPr>
      <w:r>
        <w:rPr>
          <w:b/>
          <w:color w:val="9B2C10"/>
          <w:sz w:val="21"/>
        </w:rPr>
        <w:t>Read one thought block silently. Look toward the lens. Deliver it naturally. Stop. Reset posture and hands. Take the next block. The section labels are production aids and are never spoken.</w:t>
      </w:r>
    </w:p>
    <w:p>
      <w:pPr>
        <w:spacing w:before="320" w:after="120"/>
        <w:keepNext w:val="1"/>
        <w:keepLines w:val="1"/>
      </w:pPr>
      <w:r>
        <w:rPr>
          <w:b/>
          <w:i w:val="0"/>
          <w:color w:val="112345"/>
          <w:sz w:val="26"/>
        </w:rPr>
        <w:t>BEFORE THE TAKE</w:t>
      </w:r>
    </w:p>
    <w:p>
      <w:pPr>
        <w:spacing w:after="100" w:line="278" w:lineRule="auto"/>
        <w:ind w:left="490" w:hanging="490"/>
      </w:pPr>
      <w:r>
        <w:rPr>
          <w:b/>
          <w:sz w:val="21"/>
        </w:rPr>
        <w:t xml:space="preserve">1.   </w:t>
      </w:r>
      <w:r>
        <w:rPr>
          <w:sz w:val="21"/>
        </w:rPr>
        <w:t>Read the whole script once, out loud, without recording.</w:t>
      </w:r>
    </w:p>
    <w:p>
      <w:pPr>
        <w:spacing w:after="100" w:line="278" w:lineRule="auto"/>
        <w:ind w:left="490" w:hanging="490"/>
      </w:pPr>
      <w:r>
        <w:rPr>
          <w:b/>
          <w:sz w:val="21"/>
        </w:rPr>
        <w:t xml:space="preserve">2.   </w:t>
      </w:r>
      <w:r>
        <w:rPr>
          <w:sz w:val="21"/>
        </w:rPr>
        <w:t>Light from in front, not beside. This outranks every production change.</w:t>
      </w:r>
    </w:p>
    <w:p>
      <w:pPr>
        <w:spacing w:after="100" w:line="278" w:lineRule="auto"/>
        <w:ind w:left="490" w:hanging="490"/>
      </w:pPr>
      <w:r>
        <w:rPr>
          <w:b/>
          <w:sz w:val="21"/>
        </w:rPr>
        <w:t xml:space="preserve">3.   </w:t>
      </w:r>
      <w:r>
        <w:rPr>
          <w:sz w:val="21"/>
        </w:rPr>
        <w:t>Frame 16:9 horizontal, minimum 1920 by 1080, headroom preserved.</w:t>
      </w:r>
    </w:p>
    <w:p>
      <w:pPr>
        <w:spacing w:after="100" w:line="278" w:lineRule="auto"/>
        <w:ind w:left="490" w:hanging="490"/>
      </w:pPr>
      <w:r>
        <w:rPr>
          <w:b/>
          <w:sz w:val="21"/>
        </w:rPr>
        <w:t xml:space="preserve">4.   </w:t>
      </w:r>
      <w:r>
        <w:rPr>
          <w:sz w:val="21"/>
        </w:rPr>
        <w:t>Record a level check and listen back on headphones.</w:t>
      </w:r>
    </w:p>
    <w:p>
      <w:pPr>
        <w:spacing w:after="100" w:line="278" w:lineRule="auto"/>
        <w:ind w:left="490" w:hanging="490"/>
      </w:pPr>
      <w:r>
        <w:rPr>
          <w:b/>
          <w:sz w:val="21"/>
        </w:rPr>
        <w:t xml:space="preserve">5.   </w:t>
      </w:r>
      <w:r>
        <w:rPr>
          <w:sz w:val="21"/>
        </w:rPr>
        <w:t>Have the thought-block recording copy open, not this document.</w:t>
      </w:r>
    </w:p>
    <w:p>
      <w:pPr>
        <w:spacing w:before="320" w:after="120"/>
        <w:keepNext w:val="1"/>
        <w:keepLines w:val="1"/>
      </w:pPr>
      <w:r>
        <w:rPr>
          <w:b/>
          <w:i w:val="0"/>
          <w:color w:val="112345"/>
          <w:sz w:val="26"/>
        </w:rPr>
        <w:t>THE STORY-LED SHAPE</w:t>
      </w:r>
    </w:p>
    <w:p>
      <w:pPr>
        <w:spacing w:after="80" w:line="278" w:lineRule="auto"/>
        <w:ind w:left="547" w:hanging="230"/>
      </w:pPr>
      <w:r>
        <w:rPr>
          <w:sz w:val="21"/>
        </w:rPr>
        <w:t>•   The opening is a recognition moment. Deliver it to the lens and do not rush it. Nothing covers it.</w:t>
      </w:r>
    </w:p>
    <w:p>
      <w:pPr>
        <w:spacing w:after="80" w:line="278" w:lineRule="auto"/>
        <w:ind w:left="547" w:hanging="230"/>
      </w:pPr>
      <w:r>
        <w:rPr>
          <w:sz w:val="21"/>
        </w:rPr>
        <w:t>•   The bridges between the scene and the teaching are spoken, not edited. Let them breathe.</w:t>
      </w:r>
    </w:p>
    <w:p>
      <w:pPr>
        <w:spacing w:after="80" w:line="278" w:lineRule="auto"/>
        <w:ind w:left="547" w:hanging="230"/>
      </w:pPr>
      <w:r>
        <w:rPr>
          <w:sz w:val="21"/>
        </w:rPr>
        <w:t>•   The application moments, where the idea comes back to one real role or decision, are part of the viewer outcome. They are not filler and they are not cut.</w:t>
      </w:r>
    </w:p>
    <w:p>
      <w:pPr>
        <w:spacing w:after="80" w:line="278" w:lineRule="auto"/>
        <w:ind w:left="547" w:hanging="230"/>
      </w:pPr>
      <w:r>
        <w:rPr>
          <w:sz w:val="21"/>
        </w:rPr>
        <w:t>•   Frameworks arrive after the viewer recognizes the situation, not in the second sentence.</w:t>
      </w:r>
    </w:p>
    <w:p>
      <w:pPr>
        <w:spacing w:before="320" w:after="120"/>
        <w:keepNext w:val="1"/>
        <w:keepLines w:val="1"/>
      </w:pPr>
      <w:r>
        <w:rPr>
          <w:b/>
          <w:i w:val="0"/>
          <w:color w:val="112345"/>
          <w:sz w:val="26"/>
        </w:rPr>
        <w:t>SECTIONS IN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6624"/>
            <w:shd w:val="clear" w:color="auto" w:fill="F3EFE6"/>
          </w:tcPr>
          <w:p>
            <w:pPr>
              <w:spacing w:before="60" w:after="60" w:line="264" w:lineRule="auto"/>
            </w:pPr>
            <w:r/>
            <w:r>
              <w:rPr>
                <w:b/>
                <w:i w:val="0"/>
                <w:color w:val="112345"/>
                <w:sz w:val="17"/>
              </w:rPr>
              <w:t>SECTION</w:t>
            </w:r>
          </w:p>
        </w:tc>
        <w:tc>
          <w:tcPr>
            <w:tcW w:type="dxa" w:w="1728"/>
            <w:shd w:val="clear" w:color="auto" w:fill="F3EFE6"/>
          </w:tcPr>
          <w:p>
            <w:pPr>
              <w:spacing w:before="60" w:after="60" w:line="264" w:lineRule="auto"/>
            </w:pPr>
            <w:r/>
            <w:r>
              <w:rPr>
                <w:b/>
                <w:i w:val="0"/>
                <w:color w:val="112345"/>
                <w:sz w:val="17"/>
              </w:rPr>
              <w:t>SPOKEN WORDS</w:t>
            </w:r>
          </w:p>
        </w:tc>
      </w:tr>
      <w:tr>
        <w:tc>
          <w:tcPr>
            <w:tcW w:type="dxa" w:w="576"/>
          </w:tcPr>
          <w:p>
            <w:pPr>
              <w:spacing w:before="60" w:after="60" w:line="264" w:lineRule="auto"/>
            </w:pPr>
            <w:r/>
            <w:r>
              <w:rPr>
                <w:b w:val="0"/>
                <w:i w:val="0"/>
                <w:sz w:val="18"/>
              </w:rPr>
              <w:t>1</w:t>
            </w:r>
          </w:p>
        </w:tc>
        <w:tc>
          <w:tcPr>
            <w:tcW w:type="dxa" w:w="6624"/>
          </w:tcPr>
          <w:p>
            <w:pPr>
              <w:spacing w:before="60" w:after="60" w:line="264" w:lineRule="auto"/>
            </w:pPr>
            <w:r/>
            <w:r>
              <w:rPr>
                <w:b w:val="0"/>
                <w:i w:val="0"/>
                <w:sz w:val="18"/>
              </w:rPr>
              <w:t>HOOK | New field does not mean zero</w:t>
            </w:r>
          </w:p>
        </w:tc>
        <w:tc>
          <w:tcPr>
            <w:tcW w:type="dxa" w:w="1728"/>
          </w:tcPr>
          <w:p>
            <w:pPr>
              <w:spacing w:before="60" w:after="60" w:line="264" w:lineRule="auto"/>
            </w:pPr>
            <w:r/>
            <w:r>
              <w:rPr>
                <w:b w:val="0"/>
                <w:i w:val="0"/>
                <w:sz w:val="18"/>
              </w:rPr>
              <w:t>217</w:t>
            </w:r>
          </w:p>
        </w:tc>
      </w:tr>
      <w:tr>
        <w:tc>
          <w:tcPr>
            <w:tcW w:type="dxa" w:w="576"/>
          </w:tcPr>
          <w:p>
            <w:pPr>
              <w:spacing w:before="60" w:after="60" w:line="264" w:lineRule="auto"/>
            </w:pPr>
            <w:r/>
            <w:r>
              <w:rPr>
                <w:b w:val="0"/>
                <w:i w:val="0"/>
                <w:sz w:val="18"/>
              </w:rPr>
              <w:t>2</w:t>
            </w:r>
          </w:p>
        </w:tc>
        <w:tc>
          <w:tcPr>
            <w:tcW w:type="dxa" w:w="6624"/>
          </w:tcPr>
          <w:p>
            <w:pPr>
              <w:spacing w:before="60" w:after="60" w:line="264" w:lineRule="auto"/>
            </w:pPr>
            <w:r/>
            <w:r>
              <w:rPr>
                <w:b w:val="0"/>
                <w:i w:val="0"/>
                <w:sz w:val="18"/>
              </w:rPr>
              <w:t>DEMONSTRATION | Same underlying work, different environment</w:t>
            </w:r>
          </w:p>
        </w:tc>
        <w:tc>
          <w:tcPr>
            <w:tcW w:type="dxa" w:w="1728"/>
          </w:tcPr>
          <w:p>
            <w:pPr>
              <w:spacing w:before="60" w:after="60" w:line="264" w:lineRule="auto"/>
            </w:pPr>
            <w:r/>
            <w:r>
              <w:rPr>
                <w:b w:val="0"/>
                <w:i w:val="0"/>
                <w:sz w:val="18"/>
              </w:rPr>
              <w:t>175</w:t>
            </w:r>
          </w:p>
        </w:tc>
      </w:tr>
      <w:tr>
        <w:tc>
          <w:tcPr>
            <w:tcW w:type="dxa" w:w="576"/>
          </w:tcPr>
          <w:p>
            <w:pPr>
              <w:spacing w:before="60" w:after="60" w:line="264" w:lineRule="auto"/>
            </w:pPr>
            <w:r/>
            <w:r>
              <w:rPr>
                <w:b w:val="0"/>
                <w:i w:val="0"/>
                <w:sz w:val="18"/>
              </w:rPr>
              <w:t>3</w:t>
            </w:r>
          </w:p>
        </w:tc>
        <w:tc>
          <w:tcPr>
            <w:tcW w:type="dxa" w:w="6624"/>
          </w:tcPr>
          <w:p>
            <w:pPr>
              <w:spacing w:before="60" w:after="60" w:line="264" w:lineRule="auto"/>
            </w:pPr>
            <w:r/>
            <w:r>
              <w:rPr>
                <w:b w:val="0"/>
                <w:i w:val="0"/>
                <w:sz w:val="18"/>
              </w:rPr>
              <w:t>1 | Capability: What underlying work can you prove?</w:t>
            </w:r>
          </w:p>
        </w:tc>
        <w:tc>
          <w:tcPr>
            <w:tcW w:type="dxa" w:w="1728"/>
          </w:tcPr>
          <w:p>
            <w:pPr>
              <w:spacing w:before="60" w:after="60" w:line="264" w:lineRule="auto"/>
            </w:pPr>
            <w:r/>
            <w:r>
              <w:rPr>
                <w:b w:val="0"/>
                <w:i w:val="0"/>
                <w:sz w:val="18"/>
              </w:rPr>
              <w:t>179</w:t>
            </w:r>
          </w:p>
        </w:tc>
      </w:tr>
      <w:tr>
        <w:tc>
          <w:tcPr>
            <w:tcW w:type="dxa" w:w="576"/>
          </w:tcPr>
          <w:p>
            <w:pPr>
              <w:spacing w:before="60" w:after="60" w:line="264" w:lineRule="auto"/>
            </w:pPr>
            <w:r/>
            <w:r>
              <w:rPr>
                <w:b w:val="0"/>
                <w:i w:val="0"/>
                <w:sz w:val="18"/>
              </w:rPr>
              <w:t>4</w:t>
            </w:r>
          </w:p>
        </w:tc>
        <w:tc>
          <w:tcPr>
            <w:tcW w:type="dxa" w:w="6624"/>
          </w:tcPr>
          <w:p>
            <w:pPr>
              <w:spacing w:before="60" w:after="60" w:line="264" w:lineRule="auto"/>
            </w:pPr>
            <w:r/>
            <w:r>
              <w:rPr>
                <w:b w:val="0"/>
                <w:i w:val="0"/>
                <w:sz w:val="18"/>
              </w:rPr>
              <w:t>2 | Context: What changes when the setting changes?</w:t>
            </w:r>
          </w:p>
        </w:tc>
        <w:tc>
          <w:tcPr>
            <w:tcW w:type="dxa" w:w="1728"/>
          </w:tcPr>
          <w:p>
            <w:pPr>
              <w:spacing w:before="60" w:after="60" w:line="264" w:lineRule="auto"/>
            </w:pPr>
            <w:r/>
            <w:r>
              <w:rPr>
                <w:b w:val="0"/>
                <w:i w:val="0"/>
                <w:sz w:val="18"/>
              </w:rPr>
              <w:t>237</w:t>
            </w:r>
          </w:p>
        </w:tc>
      </w:tr>
      <w:tr>
        <w:tc>
          <w:tcPr>
            <w:tcW w:type="dxa" w:w="576"/>
          </w:tcPr>
          <w:p>
            <w:pPr>
              <w:spacing w:before="60" w:after="60" w:line="264" w:lineRule="auto"/>
            </w:pPr>
            <w:r/>
            <w:r>
              <w:rPr>
                <w:b w:val="0"/>
                <w:i w:val="0"/>
                <w:sz w:val="18"/>
              </w:rPr>
              <w:t>5</w:t>
            </w:r>
          </w:p>
        </w:tc>
        <w:tc>
          <w:tcPr>
            <w:tcW w:type="dxa" w:w="6624"/>
          </w:tcPr>
          <w:p>
            <w:pPr>
              <w:spacing w:before="60" w:after="60" w:line="264" w:lineRule="auto"/>
            </w:pPr>
            <w:r/>
            <w:r>
              <w:rPr>
                <w:b w:val="0"/>
                <w:i w:val="0"/>
                <w:sz w:val="18"/>
              </w:rPr>
              <w:t>3 | Credentials: What is actually a gate?</w:t>
            </w:r>
          </w:p>
        </w:tc>
        <w:tc>
          <w:tcPr>
            <w:tcW w:type="dxa" w:w="1728"/>
          </w:tcPr>
          <w:p>
            <w:pPr>
              <w:spacing w:before="60" w:after="60" w:line="264" w:lineRule="auto"/>
            </w:pPr>
            <w:r/>
            <w:r>
              <w:rPr>
                <w:b w:val="0"/>
                <w:i w:val="0"/>
                <w:sz w:val="18"/>
              </w:rPr>
              <w:t>130</w:t>
            </w:r>
          </w:p>
        </w:tc>
      </w:tr>
      <w:tr>
        <w:tc>
          <w:tcPr>
            <w:tcW w:type="dxa" w:w="576"/>
          </w:tcPr>
          <w:p>
            <w:pPr>
              <w:spacing w:before="60" w:after="60" w:line="264" w:lineRule="auto"/>
            </w:pPr>
            <w:r/>
            <w:r>
              <w:rPr>
                <w:b w:val="0"/>
                <w:i w:val="0"/>
                <w:sz w:val="18"/>
              </w:rPr>
              <w:t>6</w:t>
            </w:r>
          </w:p>
        </w:tc>
        <w:tc>
          <w:tcPr>
            <w:tcW w:type="dxa" w:w="6624"/>
          </w:tcPr>
          <w:p>
            <w:pPr>
              <w:spacing w:before="60" w:after="60" w:line="264" w:lineRule="auto"/>
            </w:pPr>
            <w:r/>
            <w:r>
              <w:rPr>
                <w:b w:val="0"/>
                <w:i w:val="0"/>
                <w:sz w:val="18"/>
              </w:rPr>
              <w:t>PUT IT TOGETHER | A defensible introduction</w:t>
            </w:r>
          </w:p>
        </w:tc>
        <w:tc>
          <w:tcPr>
            <w:tcW w:type="dxa" w:w="1728"/>
          </w:tcPr>
          <w:p>
            <w:pPr>
              <w:spacing w:before="60" w:after="60" w:line="264" w:lineRule="auto"/>
            </w:pPr>
            <w:r/>
            <w:r>
              <w:rPr>
                <w:b w:val="0"/>
                <w:i w:val="0"/>
                <w:sz w:val="18"/>
              </w:rPr>
              <w:t>197</w:t>
            </w:r>
          </w:p>
        </w:tc>
      </w:tr>
      <w:tr>
        <w:tc>
          <w:tcPr>
            <w:tcW w:type="dxa" w:w="576"/>
          </w:tcPr>
          <w:p>
            <w:pPr>
              <w:spacing w:before="60" w:after="60" w:line="264" w:lineRule="auto"/>
            </w:pPr>
            <w:r/>
            <w:r>
              <w:rPr>
                <w:b w:val="0"/>
                <w:i w:val="0"/>
                <w:sz w:val="18"/>
              </w:rPr>
              <w:t>7</w:t>
            </w:r>
          </w:p>
        </w:tc>
        <w:tc>
          <w:tcPr>
            <w:tcW w:type="dxa" w:w="6624"/>
          </w:tcPr>
          <w:p>
            <w:pPr>
              <w:spacing w:before="60" w:after="60" w:line="264" w:lineRule="auto"/>
            </w:pPr>
            <w:r/>
            <w:r>
              <w:rPr>
                <w:b w:val="0"/>
                <w:i w:val="0"/>
                <w:sz w:val="18"/>
              </w:rPr>
              <w:t>ACTION AND RESOURCE</w:t>
            </w:r>
          </w:p>
        </w:tc>
        <w:tc>
          <w:tcPr>
            <w:tcW w:type="dxa" w:w="1728"/>
          </w:tcPr>
          <w:p>
            <w:pPr>
              <w:spacing w:before="60" w:after="60" w:line="264" w:lineRule="auto"/>
            </w:pPr>
            <w:r/>
            <w:r>
              <w:rPr>
                <w:b w:val="0"/>
                <w:i w:val="0"/>
                <w:sz w:val="18"/>
              </w:rPr>
              <w:t>94</w:t>
            </w:r>
          </w:p>
        </w:tc>
      </w:tr>
      <w:tr>
        <w:tc>
          <w:tcPr>
            <w:tcW w:type="dxa" w:w="576"/>
          </w:tcPr>
          <w:p>
            <w:pPr>
              <w:spacing w:before="60" w:after="60" w:line="264" w:lineRule="auto"/>
            </w:pPr>
            <w:r/>
            <w:r>
              <w:rPr>
                <w:b w:val="0"/>
                <w:i w:val="0"/>
                <w:sz w:val="18"/>
              </w:rPr>
              <w:t>8</w:t>
            </w:r>
          </w:p>
        </w:tc>
        <w:tc>
          <w:tcPr>
            <w:tcW w:type="dxa" w:w="6624"/>
          </w:tcPr>
          <w:p>
            <w:pPr>
              <w:spacing w:before="60" w:after="60" w:line="264" w:lineRule="auto"/>
            </w:pPr>
            <w:r/>
            <w:r>
              <w:rPr>
                <w:b w:val="0"/>
                <w:i w:val="0"/>
                <w:sz w:val="18"/>
              </w:rPr>
              <w:t>WATCH NEXT | Final visual</w:t>
            </w:r>
          </w:p>
        </w:tc>
        <w:tc>
          <w:tcPr>
            <w:tcW w:type="dxa" w:w="1728"/>
          </w:tcPr>
          <w:p>
            <w:pPr>
              <w:spacing w:before="60" w:after="60" w:line="264" w:lineRule="auto"/>
            </w:pPr>
            <w:r/>
            <w:r>
              <w:rPr>
                <w:b w:val="0"/>
                <w:i w:val="0"/>
                <w:sz w:val="18"/>
              </w:rPr>
              <w:t>49</w:t>
            </w:r>
          </w:p>
        </w:tc>
      </w:tr>
    </w:tbl>
    <w:p>
      <w:pPr>
        <w:spacing w:after="120"/>
      </w:pPr>
    </w:p>
    <w:p>
      <w:pPr>
        <w:spacing w:before="320" w:after="120"/>
        <w:keepNext w:val="1"/>
        <w:keepLines w:val="1"/>
      </w:pPr>
      <w:r>
        <w:rPr>
          <w:b/>
          <w:i w:val="0"/>
          <w:color w:val="112345"/>
          <w:sz w:val="26"/>
        </w:rPr>
        <w:t>BOUNDARIES CARRIED FROM THE SOURCE</w:t>
      </w:r>
    </w:p>
    <w:p>
      <w:pPr>
        <w:spacing w:after="80" w:line="278" w:lineRule="auto"/>
        <w:ind w:left="547" w:hanging="230"/>
      </w:pPr>
      <w:r>
        <w:rPr>
          <w:sz w:val="21"/>
        </w:rPr>
        <w:t>•   Section labels are never read aloud.</w:t>
      </w:r>
    </w:p>
    <w:p>
      <w:pPr>
        <w:spacing w:after="80" w:line="278" w:lineRule="auto"/>
        <w:ind w:left="547" w:hanging="230"/>
      </w:pPr>
      <w:r>
        <w:rPr>
          <w:sz w:val="21"/>
        </w:rPr>
        <w:t>•   No spoken Subscribe request. The Subscribe cue is visual only.</w:t>
      </w:r>
    </w:p>
    <w:p>
      <w:pPr>
        <w:spacing w:after="80" w:line="278" w:lineRule="auto"/>
        <w:ind w:left="547" w:hanging="230"/>
      </w:pPr>
      <w:r>
        <w:rPr>
          <w:sz w:val="21"/>
        </w:rPr>
        <w:t>•   Watch Next is full screen and final. Do not return to camera after it.</w:t>
      </w:r>
    </w:p>
    <w:p>
      <w:pPr>
        <w:spacing w:after="80" w:line="278" w:lineRule="auto"/>
        <w:ind w:left="547" w:hanging="230"/>
      </w:pPr>
      <w:r>
        <w:rPr>
          <w:sz w:val="21"/>
        </w:rPr>
        <w:t>•   Nothing is added to the spoken script at the desk. If a line does not work, stop and raise it rather than improvising a replacement.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9 run of show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