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None. V4 intentionally carries no offer or resource block.</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AI is already doing more of your work, the next question is what part of the result you can still honestly claim. Watch “How to Prove Your Value When AI Does More of the Task”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p>
      <w:pPr>
        <w:spacing w:before="200" w:after="200"/>
        <w:ind w:left="216"/>
        <w:pBdr>
          <w:left w:val="single" w:sz="18" w:color="9B2C10" w:space="8"/>
        </w:pBdr>
        <w:keepNext w:val="1"/>
        <w:keepLines w:val="1"/>
      </w:pPr>
      <w:r>
        <w:rPr>
          <w:b/>
          <w:color w:val="9B2C10"/>
          <w:sz w:val="21"/>
        </w:rPr>
        <w:t>V4 IS RELEASE PENDING. The spoken opening carries a numerical comparison with no evidence in this workspace. See the decisions-required report. Do not publish V4 until that is settled.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