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Final title  </w:t>
      </w:r>
      <w:r>
        <w:rPr>
          <w:sz w:val="21"/>
        </w:rPr>
        <w:t>Decode a Job Description in 10 Minutes</w:t>
      </w:r>
    </w:p>
    <w:p>
      <w:pPr>
        <w:spacing w:after="80"/>
      </w:pPr>
      <w:r>
        <w:rPr>
          <w:b/>
          <w:color w:val="8A6D1E"/>
          <w:sz w:val="20"/>
        </w:rPr>
        <w:t xml:space="preserve">Final thumbnail wording  </w:t>
      </w:r>
      <w:r>
        <w:rPr>
          <w:sz w:val="21"/>
        </w:rPr>
        <w:t>IGNORE THE TITLE</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Career Evidence Starter</w:t>
      </w:r>
    </w:p>
    <w:p>
      <w:pPr>
        <w:spacing w:after="80"/>
      </w:pPr>
      <w:r>
        <w:rPr>
          <w:b/>
          <w:color w:val="8A6D1E"/>
          <w:sz w:val="20"/>
        </w:rPr>
        <w:t xml:space="preserve">Generated  </w:t>
      </w:r>
      <w:r>
        <w:rPr>
          <w:sz w:val="21"/>
        </w:rPr>
        <w:t>Wednesday, September 16, 2026 | 3:16 PM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Once you know how to read what the role really requires, the next question is whether your own experience gives you the proof for it. Watch “Turn One Accomplishment Into Proof in 10 Minutes”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