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NEW PUBLIC V6</w:t>
      </w:r>
    </w:p>
    <w:p>
      <w:pPr>
        <w:spacing w:before="0" w:after="280"/>
      </w:pPr>
      <w:r>
        <w:rPr>
          <w:b w:val="0"/>
          <w:i w:val="0"/>
          <w:color w:val="5A6B82"/>
          <w:sz w:val="20"/>
        </w:rPr>
        <w:t>Internal posting register</w:t>
      </w:r>
    </w:p>
    <w:p>
      <w:pPr>
        <w:spacing w:before="0" w:after="240"/>
        <w:pBdr>
          <w:bottom w:val="single" w:sz="6" w:color="8A6D1E"/>
        </w:pBdr>
      </w:pP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INTERNAL RECORD. NEVER DISPLAY COPY. This is the named provenance behind V6's anonymized public teaching layer. It is kept in this package so the research stays traceable, and it must not reach a script, a card, a cutaway, a Short or any publishing material.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Captured September 12, 2026. 15 postings across 11 employers; the six above are the ones a card shows.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