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V6  |  FORMER ROADMAP V22</w:t>
      </w:r>
    </w:p>
    <w:p>
      <w:pPr>
        <w:spacing w:after="140"/>
      </w:pPr>
      <w:r>
        <w:rPr>
          <w:rFonts w:ascii="Calibri" w:hAnsi="Calibri"/>
          <w:b/>
          <w:color w:val="112345"/>
          <w:sz w:val="38"/>
        </w:rPr>
        <w:t>Decode a Job Description in 10 Minutes</w:t>
      </w:r>
    </w:p>
    <w:p>
      <w:pPr>
        <w:spacing w:after="120"/>
      </w:pPr>
      <w:r>
        <w:rPr>
          <w:rFonts w:ascii="Calibri" w:hAnsi="Calibri"/>
          <w:b/>
          <w:color w:val="112345"/>
          <w:sz w:val="21"/>
        </w:rPr>
        <w:t>THUMBNAIL: IGNORE THE TITLE</w:t>
      </w:r>
    </w:p>
    <w:p>
      <w:pPr>
        <w:spacing w:after="60"/>
      </w:pPr>
      <w:r>
        <w:rPr>
          <w:rFonts w:ascii="Calibri" w:hAnsi="Calibri"/>
          <w:b/>
          <w:color w:val="4D5A6C"/>
          <w:sz w:val="20"/>
        </w:rPr>
        <w:t>EDITOR ONLY | Long-form curiosity, sound, cutaways and outcomes</w:t>
      </w:r>
    </w:p>
    <w:p>
      <w:pPr>
        <w:spacing w:after="160"/>
      </w:pPr>
      <w:r>
        <w:rPr>
          <w:rFonts w:ascii="Calibri" w:hAnsi="Calibri"/>
          <w:b w:val="0"/>
          <w:color w:val="4D5A6C"/>
          <w:sz w:val="16"/>
        </w:rPr>
        <w:t>Created Wednesday, September 16, 2026 | 10:06 AM CT (CDT, UTC-05:00)</w:t>
      </w:r>
    </w:p>
    <w:p>
      <w:pPr>
        <w:spacing w:after="140"/>
        <w:shd w:fill="F5F1E8"/>
      </w:pPr>
      <w:r>
        <w:rPr>
          <w:rFonts w:ascii="Calibri" w:hAnsi="Calibri"/>
          <w:b/>
          <w:color w:val="112345"/>
          <w:sz w:val="22"/>
        </w:rPr>
        <w:t>CAMERA-LED DOES NOT MEAN CAMERA-ONLY AT THE START.</w:t>
      </w:r>
    </w:p>
    <w:p>
      <w:pPr>
        <w:spacing w:after="140"/>
      </w:pPr>
      <w:r>
        <w:rPr>
          <w:rFonts w:ascii="Calibri" w:hAnsi="Calibri"/>
          <w:b w:val="0"/>
          <w:color w:val="25344A"/>
          <w:sz w:val="21"/>
        </w:rPr>
        <w:t>Begin with the first spoken line, not a logo or welcome sequence. Editorial opening text and a useful cutaway can arrive in the first few seconds. The optional personal-intro window is not a waiting period for visuals or sound. Use the exact anchors below, not guessed playback timestamps.</w:t>
      </w:r>
    </w:p>
    <w:p>
      <w:pPr>
        <w:pStyle w:val="Heading2"/>
        <w:spacing w:after="120"/>
      </w:pPr>
      <w:r>
        <w:rPr>
          <w:rFonts w:ascii="Calibri" w:hAnsi="Calibri"/>
          <w:b w:val="0"/>
          <w:color w:val="25344A"/>
        </w:rPr>
        <w:t>The viewer’s reason to watch</w:t>
      </w:r>
    </w:p>
    <w:p>
      <w:pPr>
        <w:spacing w:after="80"/>
      </w:pPr>
      <w:r>
        <w:rPr>
          <w:rFonts w:ascii="Calibri" w:hAnsi="Calibri"/>
          <w:b w:val="0"/>
          <w:color w:val="25344A"/>
          <w:sz w:val="21"/>
        </w:rPr>
        <w:t>OUTCOME: Read a real posting well enough to decide whether it deserves a deeper look, separating the work, authority, proof and real gates.</w:t>
      </w:r>
    </w:p>
    <w:p>
      <w:pPr>
        <w:spacing w:after="80"/>
      </w:pPr>
      <w:r>
        <w:rPr>
          <w:rFonts w:ascii="Calibri" w:hAnsi="Calibri"/>
          <w:b w:val="0"/>
          <w:color w:val="25344A"/>
          <w:sz w:val="21"/>
        </w:rPr>
        <w:t>CURIOSITY: What might the title conceal, and can an unclear title conceal substantial work too?</w:t>
      </w:r>
    </w:p>
    <w:p>
      <w:pPr>
        <w:spacing w:after="80"/>
      </w:pPr>
      <w:r>
        <w:rPr>
          <w:rFonts w:ascii="Calibri" w:hAnsi="Calibri"/>
          <w:b w:val="0"/>
          <w:color w:val="25344A"/>
          <w:sz w:val="21"/>
        </w:rPr>
        <w:t>WHY THIS METHOD: Reading responsibilities and requirements separately avoids treating a title as the whole job.</w:t>
      </w:r>
    </w:p>
    <w:p>
      <w:pPr>
        <w:spacing w:after="140"/>
      </w:pPr>
      <w:r>
        <w:rPr>
          <w:rFonts w:ascii="Calibri" w:hAnsi="Calibri"/>
          <w:b w:val="0"/>
          <w:color w:val="25344A"/>
          <w:sz w:val="21"/>
        </w:rPr>
        <w:t>OBSERVABLE TAKEAWAY: The viewer has a four-line role read, one relevant piece of their own evidence and a requirement to verify. The method does not predict hiring.</w:t>
      </w:r>
    </w:p>
    <w:p>
      <w:pPr>
        <w:pStyle w:val="Heading2"/>
        <w:spacing w:after="120"/>
      </w:pPr>
      <w:r>
        <w:rPr>
          <w:rFonts w:ascii="Calibri" w:hAnsi="Calibri"/>
          <w:b w:val="0"/>
          <w:color w:val="25344A"/>
        </w:rPr>
        <w:t>Opening treatment | first spoken beats</w:t>
      </w:r>
    </w:p>
    <w:p>
      <w:pPr>
        <w:keepNext/>
        <w:spacing w:after="60"/>
      </w:pPr>
      <w:r>
        <w:rPr>
          <w:rFonts w:ascii="Calibri" w:hAnsi="Calibri"/>
          <w:b/>
          <w:color w:val="112345"/>
          <w:sz w:val="20"/>
        </w:rPr>
        <w:t>1. CAMERA + BRIEF EDITORIAL TEXT</w:t>
      </w:r>
    </w:p>
    <w:p>
      <w:pPr>
        <w:keepNext/>
        <w:spacing w:after="60"/>
      </w:pPr>
      <w:r>
        <w:rPr>
          <w:rFonts w:ascii="Calibri" w:hAnsi="Calibri"/>
          <w:b w:val="0"/>
          <w:color w:val="25344A"/>
          <w:sz w:val="20"/>
        </w:rPr>
        <w:t>Exact spoken trigger: “I want you to guess what this job actually is.”</w:t>
      </w:r>
    </w:p>
    <w:p>
      <w:pPr>
        <w:keepNext/>
        <w:spacing w:after="60"/>
      </w:pPr>
      <w:r>
        <w:rPr>
          <w:rFonts w:ascii="Calibri" w:hAnsi="Calibri"/>
          <w:b/>
          <w:color w:val="25344A"/>
          <w:sz w:val="20"/>
        </w:rPr>
        <w:t>Display copy: WHAT IS THE ACTUAL JOB?</w:t>
      </w:r>
    </w:p>
    <w:p>
      <w:pPr>
        <w:spacing w:after="140"/>
      </w:pPr>
      <w:r>
        <w:rPr>
          <w:rFonts w:ascii="Calibri" w:hAnsi="Calibri"/>
          <w:b w:val="0"/>
          <w:color w:val="25344A"/>
          <w:sz w:val="20"/>
        </w:rPr>
        <w:t>Use the question immediately, while she speaks. Do not start with the full framework or an introduction.</w:t>
      </w:r>
    </w:p>
    <w:p>
      <w:pPr>
        <w:keepNext/>
        <w:spacing w:after="60"/>
      </w:pPr>
      <w:r>
        <w:rPr>
          <w:rFonts w:ascii="Calibri" w:hAnsi="Calibri"/>
          <w:b/>
          <w:color w:val="112345"/>
          <w:sz w:val="20"/>
        </w:rPr>
        <w:t>2. TRUE FULL-SCREEN POSTING CARD  |  S1: brief sound stinger</w:t>
      </w:r>
    </w:p>
    <w:p>
      <w:pPr>
        <w:keepNext/>
        <w:spacing w:after="60"/>
      </w:pPr>
      <w:r>
        <w:rPr>
          <w:rFonts w:ascii="Calibri" w:hAnsi="Calibri"/>
          <w:b w:val="0"/>
          <w:color w:val="25344A"/>
          <w:sz w:val="20"/>
        </w:rPr>
        <w:t>Exact spoken trigger: “Senior Divisional Strategy Consultant, Governance.”</w:t>
      </w:r>
    </w:p>
    <w:p>
      <w:pPr>
        <w:keepNext/>
        <w:spacing w:after="60"/>
      </w:pPr>
      <w:r>
        <w:rPr>
          <w:rFonts w:ascii="Calibri" w:hAnsi="Calibri"/>
          <w:b/>
          <w:color w:val="25344A"/>
          <w:sz w:val="20"/>
        </w:rPr>
        <w:t>Display copy: Senior Divisional Strategy Consultant, Governance</w:t>
      </w:r>
    </w:p>
    <w:p>
      <w:pPr>
        <w:spacing w:after="140"/>
      </w:pPr>
      <w:r>
        <w:rPr>
          <w:rFonts w:ascii="Calibri" w:hAnsi="Calibri"/>
          <w:b w:val="0"/>
          <w:color w:val="25344A"/>
          <w:sz w:val="20"/>
        </w:rPr>
        <w:t>Show the anonymized title on the second spoken sentence. Leave salary and responsibility language hidden until spoken. This is an early cutaway, not a slide delayed until the framework.</w:t>
      </w:r>
    </w:p>
    <w:p>
      <w:pPr>
        <w:keepNext/>
        <w:spacing w:after="60"/>
      </w:pPr>
      <w:r>
        <w:rPr>
          <w:rFonts w:ascii="Calibri" w:hAnsi="Calibri"/>
          <w:b/>
          <w:color w:val="112345"/>
          <w:sz w:val="20"/>
        </w:rPr>
        <w:t>3. TRUE FULL-SCREEN POSTING DETAIL  |  S2: brief sound stinger</w:t>
      </w:r>
    </w:p>
    <w:p>
      <w:pPr>
        <w:keepNext/>
        <w:spacing w:after="60"/>
      </w:pPr>
      <w:r>
        <w:rPr>
          <w:rFonts w:ascii="Calibri" w:hAnsi="Calibri"/>
          <w:b w:val="0"/>
          <w:color w:val="25344A"/>
          <w:sz w:val="20"/>
        </w:rPr>
        <w:t>Exact spoken trigger: “the bottom of the pay range was $61,500”</w:t>
      </w:r>
    </w:p>
    <w:p>
      <w:pPr>
        <w:keepNext/>
        <w:spacing w:after="60"/>
      </w:pPr>
      <w:r>
        <w:rPr>
          <w:rFonts w:ascii="Calibri" w:hAnsi="Calibri"/>
          <w:b/>
          <w:color w:val="25344A"/>
          <w:sz w:val="20"/>
        </w:rPr>
        <w:t>Display copy: PUBLISHED RANGE START: $61,500 / ACCEPT DIRECTION AND FEEDBACK</w:t>
      </w:r>
    </w:p>
    <w:p>
      <w:pPr>
        <w:spacing w:after="140"/>
      </w:pPr>
      <w:r>
        <w:rPr>
          <w:rFonts w:ascii="Calibri" w:hAnsi="Calibri"/>
          <w:b w:val="0"/>
          <w:color w:val="25344A"/>
          <w:sz w:val="20"/>
        </w:rPr>
        <w:t>Reveal the range floor and requirement with the actual sentence. Treat the sentence as a paraphrase unless the capture packet supplies an exact quotation. Do not imply salary alone proves seniority.</w:t>
      </w:r>
    </w:p>
    <w:p>
      <w:pPr>
        <w:keepNext/>
        <w:spacing w:after="60"/>
      </w:pPr>
      <w:r>
        <w:rPr>
          <w:rFonts w:ascii="Calibri" w:hAnsi="Calibri"/>
          <w:b/>
          <w:color w:val="112345"/>
          <w:sz w:val="20"/>
        </w:rPr>
        <w:t>4. RETURN TO CAMERA</w:t>
      </w:r>
    </w:p>
    <w:p>
      <w:pPr>
        <w:keepNext/>
        <w:spacing w:after="60"/>
      </w:pPr>
      <w:r>
        <w:rPr>
          <w:rFonts w:ascii="Calibri" w:hAnsi="Calibri"/>
          <w:b w:val="0"/>
          <w:color w:val="25344A"/>
          <w:sz w:val="20"/>
        </w:rPr>
        <w:t>Exact spoken trigger: “The title did not tell you the job.”</w:t>
      </w:r>
    </w:p>
    <w:p>
      <w:pPr>
        <w:keepNext/>
        <w:spacing w:after="60"/>
      </w:pPr>
      <w:r>
        <w:rPr>
          <w:rFonts w:ascii="Calibri" w:hAnsi="Calibri"/>
          <w:b/>
          <w:color w:val="25344A"/>
          <w:sz w:val="20"/>
        </w:rPr>
        <w:t>Display copy: THE TITLE ≠ THE WHOLE JOB</w:t>
      </w:r>
    </w:p>
    <w:p>
      <w:pPr>
        <w:spacing w:after="140"/>
      </w:pPr>
      <w:r>
        <w:rPr>
          <w:rFonts w:ascii="Calibri" w:hAnsi="Calibri"/>
          <w:b w:val="0"/>
          <w:color w:val="25344A"/>
          <w:sz w:val="20"/>
        </w:rPr>
        <w:t>Return for the interpretation and sample boundary. Do not turn the observed example into a universal title verdict.</w:t>
      </w:r>
    </w:p>
    <w:p>
      <w:pPr>
        <w:spacing w:after="0"/>
      </w:pPr>
      <w:r>
        <w:rPr>
          <w:rFonts w:ascii="Calibri" w:hAnsi="Calibri"/>
          <w:b w:val="0"/>
          <w:color w:val="4D5A6C"/>
          <w:sz w:val="18"/>
        </w:rPr>
        <w:t>Display copy is editorial text, not a changed transcript. The underlying voice continues through cutaways. Hold for comprehension, then return to her interpretation. No repetitive word-by-word long-form captions.</w:t>
      </w:r>
    </w:p>
    <w:p>
      <w:r>
        <w:br w:type="page"/>
      </w:r>
    </w:p>
    <w:p>
      <w:pPr>
        <w:spacing w:after="140"/>
      </w:pPr>
      <w:r>
        <w:rPr>
          <w:rFonts w:ascii="Calibri" w:hAnsi="Calibri"/>
          <w:b/>
          <w:color w:val="112345"/>
          <w:sz w:val="36"/>
        </w:rPr>
        <w:t>Make the teaching usable</w:t>
      </w:r>
    </w:p>
    <w:p>
      <w:pPr>
        <w:spacing w:after="160"/>
      </w:pPr>
      <w:r>
        <w:rPr>
          <w:rFonts w:ascii="Calibri" w:hAnsi="Calibri"/>
          <w:b w:val="0"/>
          <w:color w:val="25344A"/>
          <w:sz w:val="21"/>
        </w:rPr>
        <w:t>Keep the activities. Show why the viewer would do them and the specific answer, note, or conversation they leave with. Do not replace practical teaching with bigger promises.</w:t>
      </w:r>
    </w:p>
    <w:p>
      <w:pPr>
        <w:pStyle w:val="Heading2"/>
        <w:spacing w:after="60"/>
      </w:pPr>
      <w:r>
        <w:rPr>
          <w:rFonts w:ascii="Calibri" w:hAnsi="Calibri"/>
          <w:b/>
          <w:color w:val="112345"/>
          <w:sz w:val="21"/>
        </w:rPr>
        <w:t>1. 2 | AUTHORITY  |  S3</w:t>
      </w:r>
    </w:p>
    <w:p>
      <w:pPr>
        <w:keepNext/>
        <w:spacing w:after="80"/>
      </w:pPr>
      <w:r>
        <w:rPr>
          <w:rFonts w:ascii="Calibri" w:hAnsi="Calibri"/>
          <w:b w:val="0"/>
          <w:color w:val="25344A"/>
          <w:sz w:val="21"/>
        </w:rPr>
        <w:t>Exact spoken trigger: “Supporting the development of strategy is not the same as setting the strategy.”</w:t>
      </w:r>
    </w:p>
    <w:p>
      <w:pPr>
        <w:keepNext/>
        <w:spacing w:after="80"/>
      </w:pPr>
      <w:r>
        <w:rPr>
          <w:rFonts w:ascii="Calibri" w:hAnsi="Calibri"/>
          <w:b/>
          <w:color w:val="25344A"/>
          <w:sz w:val="20"/>
        </w:rPr>
        <w:t>TRUE FULL-SCREEN POSTING COMPARISON  |  SUPPORTING ≠ SETTING</w:t>
      </w:r>
    </w:p>
    <w:p>
      <w:pPr>
        <w:spacing w:after="160"/>
      </w:pPr>
      <w:r>
        <w:rPr>
          <w:rFonts w:ascii="Calibri" w:hAnsi="Calibri"/>
          <w:b w:val="0"/>
          <w:color w:val="25344A"/>
          <w:sz w:val="21"/>
        </w:rPr>
        <w:t>Highlight the relevant verb, not the full posting. One click on the decisive change. Keep the authority inference qualified.</w:t>
      </w:r>
    </w:p>
    <w:p>
      <w:pPr>
        <w:pStyle w:val="Heading2"/>
        <w:spacing w:after="60"/>
      </w:pPr>
      <w:r>
        <w:rPr>
          <w:rFonts w:ascii="Calibri" w:hAnsi="Calibri"/>
          <w:b/>
          <w:color w:val="112345"/>
          <w:sz w:val="21"/>
        </w:rPr>
        <w:t>2. 4 | REAL GAP</w:t>
      </w:r>
    </w:p>
    <w:p>
      <w:pPr>
        <w:keepNext/>
        <w:spacing w:after="80"/>
      </w:pPr>
      <w:r>
        <w:rPr>
          <w:rFonts w:ascii="Calibri" w:hAnsi="Calibri"/>
          <w:b w:val="0"/>
          <w:color w:val="25344A"/>
          <w:sz w:val="21"/>
        </w:rPr>
        <w:t>Exact spoken trigger: “at least three hours of overlap with East Africa Time.”</w:t>
      </w:r>
    </w:p>
    <w:p>
      <w:pPr>
        <w:keepNext/>
        <w:spacing w:after="80"/>
      </w:pPr>
      <w:r>
        <w:rPr>
          <w:rFonts w:ascii="Calibri" w:hAnsi="Calibri"/>
          <w:b/>
          <w:color w:val="25344A"/>
          <w:sz w:val="20"/>
        </w:rPr>
        <w:t>TRUE FULL-SCREEN REQUIREMENT CARD  |  REQUIRED TIME OVERLAP</w:t>
      </w:r>
    </w:p>
    <w:p>
      <w:pPr>
        <w:spacing w:after="160"/>
      </w:pPr>
      <w:r>
        <w:rPr>
          <w:rFonts w:ascii="Calibri" w:hAnsi="Calibri"/>
          <w:b w:val="0"/>
          <w:color w:val="25344A"/>
          <w:sz w:val="21"/>
        </w:rPr>
        <w:t>Keep the geographic recruiting requirement and time overlap distinct. Explain the life constraint without inventing a schedule or translating time zones.</w:t>
      </w:r>
    </w:p>
    <w:p>
      <w:pPr>
        <w:pStyle w:val="Heading2"/>
        <w:spacing w:after="60"/>
      </w:pPr>
      <w:r>
        <w:rPr>
          <w:rFonts w:ascii="Calibri" w:hAnsi="Calibri"/>
          <w:b/>
          <w:color w:val="112345"/>
          <w:sz w:val="21"/>
        </w:rPr>
        <w:t>3. THE REVERSE CAN HAPPEN TOO  |  S4</w:t>
      </w:r>
    </w:p>
    <w:p>
      <w:pPr>
        <w:keepNext/>
        <w:spacing w:after="80"/>
      </w:pPr>
      <w:r>
        <w:rPr>
          <w:rFonts w:ascii="Calibri" w:hAnsi="Calibri"/>
          <w:b w:val="0"/>
          <w:color w:val="25344A"/>
          <w:sz w:val="21"/>
        </w:rPr>
        <w:t>Exact spoken trigger: “highest published pay ceiling.”</w:t>
      </w:r>
    </w:p>
    <w:p>
      <w:pPr>
        <w:keepNext/>
        <w:spacing w:after="80"/>
      </w:pPr>
      <w:r>
        <w:rPr>
          <w:rFonts w:ascii="Calibri" w:hAnsi="Calibri"/>
          <w:b/>
          <w:color w:val="25344A"/>
          <w:sz w:val="20"/>
        </w:rPr>
        <w:t>TRUE FULL-SCREEN REVERSE CASE  |  HIGHEST PUBLISHED CEILING IN THIS SAMPLE</w:t>
      </w:r>
    </w:p>
    <w:p>
      <w:pPr>
        <w:spacing w:after="160"/>
      </w:pPr>
      <w:r>
        <w:rPr>
          <w:rFonts w:ascii="Calibri" w:hAnsi="Calibri"/>
          <w:b w:val="0"/>
          <w:color w:val="25344A"/>
          <w:sz w:val="21"/>
        </w:rPr>
        <w:t>Reveal the captured range only at its actual paragraph. Keep “in this sample” visible on the comparison. Employer is an AI company publicly; preserve named evidence privately.</w:t>
      </w:r>
    </w:p>
    <w:p>
      <w:pPr>
        <w:pStyle w:val="Heading2"/>
        <w:spacing w:after="60"/>
      </w:pPr>
      <w:r>
        <w:rPr>
          <w:rFonts w:ascii="Calibri" w:hAnsi="Calibri"/>
          <w:b/>
          <w:color w:val="112345"/>
          <w:sz w:val="21"/>
        </w:rPr>
        <w:t>4. USE IT ON A REAL JOB  |  S5</w:t>
      </w:r>
    </w:p>
    <w:p>
      <w:pPr>
        <w:keepNext/>
        <w:spacing w:after="80"/>
      </w:pPr>
      <w:r>
        <w:rPr>
          <w:rFonts w:ascii="Calibri" w:hAnsi="Calibri"/>
          <w:b w:val="0"/>
          <w:color w:val="25344A"/>
          <w:sz w:val="21"/>
        </w:rPr>
        <w:t>Exact spoken trigger: “Take one job description you are actually thinking about.”</w:t>
      </w:r>
    </w:p>
    <w:p>
      <w:pPr>
        <w:keepNext/>
        <w:spacing w:after="80"/>
      </w:pPr>
      <w:r>
        <w:rPr>
          <w:rFonts w:ascii="Calibri" w:hAnsi="Calibri"/>
          <w:b/>
          <w:color w:val="25344A"/>
          <w:sz w:val="20"/>
        </w:rPr>
        <w:t>TRUE FULL-SCREEN WORKING PAGE  |  PROBLEM / AUTHORITY / PROOF / REAL GAP</w:t>
      </w:r>
    </w:p>
    <w:p>
      <w:pPr>
        <w:spacing w:after="160"/>
      </w:pPr>
      <w:r>
        <w:rPr>
          <w:rFonts w:ascii="Calibri" w:hAnsi="Calibri"/>
          <w:b w:val="0"/>
          <w:color w:val="25344A"/>
          <w:sz w:val="21"/>
        </w:rPr>
        <w:t>End with a filled four-line reading structure, using only captured evidence or clearly marked placeholders. Sound when the fourth line completes. The result is a deeper-look decision, not a job offer.</w:t>
      </w:r>
    </w:p>
    <w:p>
      <w:pPr>
        <w:pStyle w:val="Heading2"/>
        <w:spacing w:after="120"/>
      </w:pPr>
      <w:r>
        <w:rPr>
          <w:rFonts w:ascii="Calibri" w:hAnsi="Calibri"/>
          <w:b w:val="0"/>
          <w:color w:val="25344A"/>
        </w:rPr>
        <w:t>Meaningful B-roll / artifact options</w:t>
      </w:r>
    </w:p>
    <w:p>
      <w:pPr>
        <w:spacing w:after="120"/>
      </w:pPr>
      <w:r>
        <w:rPr>
          <w:rFonts w:ascii="Calibri" w:hAnsi="Calibri"/>
          <w:b w:val="0"/>
          <w:color w:val="25344A"/>
          <w:sz w:val="21"/>
        </w:rPr>
        <w:t>Use the real anonymized posting walkthrough rather than generic job-search footage. Optional second cutaway: a personal comparison page with the viewer’s proof and unanswered requirement.</w:t>
      </w:r>
    </w:p>
    <w:p>
      <w:pPr>
        <w:spacing w:after="0"/>
      </w:pPr>
      <w:r>
        <w:rPr>
          <w:rFonts w:ascii="Calibri" w:hAnsi="Calibri"/>
          <w:b w:val="0"/>
          <w:color w:val="4D5A6C"/>
          <w:sz w:val="18"/>
        </w:rPr>
        <w:t>Show examples as examples. Do not fabricate personal outcomes, employer records, screenshots, research results, or evidence. New visuals are proposed instructions here, not delivered slide files.</w:t>
      </w:r>
    </w:p>
    <w:p>
      <w:r>
        <w:br w:type="page"/>
      </w:r>
    </w:p>
    <w:p>
      <w:pPr>
        <w:spacing w:after="140"/>
      </w:pPr>
      <w:r>
        <w:rPr>
          <w:rFonts w:ascii="Calibri" w:hAnsi="Calibri"/>
          <w:b/>
          <w:color w:val="112345"/>
          <w:sz w:val="36"/>
        </w:rPr>
        <w:t>Sound, delivery and handoff</w:t>
      </w:r>
    </w:p>
    <w:p>
      <w:pPr>
        <w:pStyle w:val="Heading2"/>
        <w:spacing w:after="120"/>
      </w:pPr>
      <w:r>
        <w:rPr>
          <w:rFonts w:ascii="Calibri" w:hAnsi="Calibri"/>
          <w:b w:val="0"/>
          <w:color w:val="25344A"/>
        </w:rPr>
        <w:t>Sound plan</w:t>
      </w:r>
    </w:p>
    <w:p>
      <w:pPr>
        <w:spacing w:after="120"/>
      </w:pPr>
      <w:r>
        <w:rPr>
          <w:rFonts w:ascii="Calibri" w:hAnsi="Calibri"/>
          <w:b w:val="0"/>
          <w:color w:val="25344A"/>
          <w:sz w:val="21"/>
        </w:rPr>
        <w:t>Five planned accents, S1–S5, are marked on exact source passages. S1 occurs in the opening. A stinger means a brief sound cue: a quiet click, soft tap, paper movement, or restrained tonal accent. Text or a cutaway is a separate visual choice.</w:t>
      </w:r>
    </w:p>
    <w:p>
      <w:pPr>
        <w:spacing w:after="140"/>
      </w:pPr>
      <w:r>
        <w:rPr>
          <w:rFonts w:ascii="Calibri" w:hAnsi="Calibri"/>
          <w:b w:val="0"/>
          <w:color w:val="25344A"/>
          <w:sz w:val="21"/>
        </w:rPr>
        <w:t>Audition each cue under the actual voice. Keep speech clear; no alarms, loud whooshes, compulsory background music or sound on every bullet. Do not add a second effect when an existing cue already does the job. Five is an editorial plan, not a measured export count or retention guarantee.</w:t>
      </w:r>
    </w:p>
    <w:p>
      <w:pPr>
        <w:pStyle w:val="Heading2"/>
        <w:spacing w:after="120"/>
      </w:pPr>
      <w:r>
        <w:rPr>
          <w:rFonts w:ascii="Calibri" w:hAnsi="Calibri"/>
          <w:b w:val="0"/>
          <w:color w:val="25344A"/>
        </w:rPr>
        <w:t>Camera emphasis | four proposed beats</w:t>
      </w:r>
    </w:p>
    <w:p>
      <w:pPr>
        <w:spacing w:after="60"/>
      </w:pPr>
      <w:r>
        <w:rPr>
          <w:rFonts w:ascii="Calibri" w:hAnsi="Calibri"/>
          <w:b w:val="0"/>
          <w:color w:val="25344A"/>
          <w:sz w:val="21"/>
        </w:rPr>
        <w:t>• Base frame for the opening question.</w:t>
      </w:r>
    </w:p>
    <w:p>
      <w:pPr>
        <w:spacing w:after="60"/>
      </w:pPr>
      <w:r>
        <w:rPr>
          <w:rFonts w:ascii="Calibri" w:hAnsi="Calibri"/>
          <w:b w:val="0"/>
          <w:color w:val="25344A"/>
          <w:sz w:val="21"/>
        </w:rPr>
        <w:t>• Push in slightly for the title/job distinction.</w:t>
      </w:r>
    </w:p>
    <w:p>
      <w:pPr>
        <w:spacing w:after="60"/>
      </w:pPr>
      <w:r>
        <w:rPr>
          <w:rFonts w:ascii="Calibri" w:hAnsi="Calibri"/>
          <w:b w:val="0"/>
          <w:color w:val="25344A"/>
          <w:sz w:val="21"/>
        </w:rPr>
        <w:t>• Return to base for the limits of the method.</w:t>
      </w:r>
    </w:p>
    <w:p>
      <w:pPr>
        <w:spacing w:after="60"/>
      </w:pPr>
      <w:r>
        <w:rPr>
          <w:rFonts w:ascii="Calibri" w:hAnsi="Calibri"/>
          <w:b w:val="0"/>
          <w:color w:val="25344A"/>
          <w:sz w:val="21"/>
        </w:rPr>
        <w:t>• Small final emphasis on deciding whether a deeper look is worthwhile.</w:t>
      </w:r>
    </w:p>
    <w:p>
      <w:pPr>
        <w:spacing w:after="140"/>
      </w:pPr>
      <w:r>
        <w:rPr>
          <w:rFonts w:ascii="Calibri" w:hAnsi="Calibri"/>
          <w:b w:val="0"/>
          <w:color w:val="25344A"/>
          <w:sz w:val="21"/>
        </w:rPr>
        <w:t>Use gentle push-ins or a return to the base frame. Keep natural pauses. Do not make every thought-block boundary a visible hard cut. Do not remove sentences to manufacture pace.</w:t>
      </w:r>
    </w:p>
    <w:p>
      <w:pPr>
        <w:pStyle w:val="Heading2"/>
        <w:spacing w:after="120"/>
      </w:pPr>
      <w:r>
        <w:rPr>
          <w:rFonts w:ascii="Calibri" w:hAnsi="Calibri"/>
          <w:b w:val="0"/>
          <w:color w:val="25344A"/>
        </w:rPr>
        <w:t>Public boundary to preserve</w:t>
      </w:r>
    </w:p>
    <w:p>
      <w:pPr>
        <w:spacing w:after="140"/>
      </w:pPr>
      <w:r>
        <w:rPr>
          <w:rFonts w:ascii="Calibri" w:hAnsi="Calibri"/>
          <w:b w:val="0"/>
          <w:color w:val="25344A"/>
          <w:sz w:val="21"/>
        </w:rPr>
        <w:t>Public employer identities stay anonymous. Keep the 15-posting / 11-employer sample exact, monetary figures unchanged, and the ceiling limited to the sample. Show the capture date from evidence. Never expose logos, employer URLs or named source files on-screen. The V6 spoken employer substitution is documented in the change log.</w:t>
      </w:r>
    </w:p>
    <w:p>
      <w:pPr>
        <w:pStyle w:val="Heading2"/>
        <w:spacing w:after="120"/>
      </w:pPr>
      <w:r>
        <w:rPr>
          <w:rFonts w:ascii="Calibri" w:hAnsi="Calibri"/>
          <w:b w:val="0"/>
          <w:color w:val="25344A"/>
        </w:rPr>
        <w:t>Final sequence and one primary ask</w:t>
      </w:r>
    </w:p>
    <w:p>
      <w:pPr>
        <w:spacing w:after="100"/>
      </w:pPr>
      <w:r>
        <w:rPr>
          <w:rFonts w:ascii="Calibri" w:hAnsi="Calibri"/>
          <w:b w:val="0"/>
          <w:color w:val="25344A"/>
          <w:sz w:val="21"/>
        </w:rPr>
        <w:t>Keep the source TAKEAWAY VALUE, STORY LOOP PAYOFF, CLOSE and CONFIDENCE / VIEWER OUTCOME in order. They already carry the useful outcome; do not add another outcome speech or repeated ending.</w:t>
      </w:r>
    </w:p>
    <w:p>
      <w:pPr>
        <w:spacing w:after="100"/>
      </w:pPr>
      <w:r>
        <w:rPr>
          <w:rFonts w:ascii="Calibri" w:hAnsi="Calibri"/>
          <w:b w:val="0"/>
          <w:color w:val="25344A"/>
          <w:sz w:val="21"/>
        </w:rPr>
        <w:t>Exact Watch Next: “Once you know how to read what the role really requires, the next question is whether your own experience gives you the proof for it. Watch “Turn One Accomplishment Into Proof in 10 Minutes” next.”</w:t>
      </w:r>
    </w:p>
    <w:p>
      <w:pPr>
        <w:spacing w:after="120"/>
      </w:pPr>
      <w:r>
        <w:rPr>
          <w:rFonts w:ascii="Calibri" w:hAnsi="Calibri"/>
          <w:b w:val="0"/>
          <w:color w:val="25344A"/>
          <w:sz w:val="21"/>
        </w:rPr>
        <w:t>Switch to TRUE FULL-SCREEN for Watch Next from the start of that passage. The final Watch Next graphic is the last frame. Never return to camera. Verify the destination’s live status before upload; do not invent a link or silently substitute the spoken destination.</w:t>
      </w:r>
    </w:p>
    <w:p>
      <w:pPr>
        <w:spacing w:after="120"/>
      </w:pPr>
      <w:r>
        <w:rPr>
          <w:rFonts w:ascii="Calibri" w:hAnsi="Calibri"/>
          <w:b w:val="0"/>
          <w:color w:val="25344A"/>
          <w:sz w:val="20"/>
        </w:rPr>
        <w:t>Career Evidence Starter; one description-only resource. Keep the approved URL from the current publishing layer.</w:t>
      </w:r>
    </w:p>
    <w:p>
      <w:pPr>
        <w:pStyle w:val="Heading2"/>
        <w:spacing w:after="120"/>
      </w:pPr>
      <w:r>
        <w:rPr>
          <w:rFonts w:ascii="Calibri" w:hAnsi="Calibri"/>
          <w:b w:val="0"/>
          <w:color w:val="25344A"/>
        </w:rPr>
        <w:t>Production guardrails</w:t>
      </w:r>
    </w:p>
    <w:p>
      <w:pPr>
        <w:spacing w:after="120"/>
      </w:pPr>
      <w:r>
        <w:rPr>
          <w:rFonts w:ascii="Calibri" w:hAnsi="Calibri"/>
          <w:b w:val="0"/>
          <w:color w:val="25344A"/>
          <w:sz w:val="20"/>
        </w:rPr>
        <w:t>16:9; 1920 × 1080 minimum. Palette: navy #112345, cream #F5F1E8, muted gold #C9A84C, warm yellow #F2C44C. Short editorial hook text is allowed over camera. Substantive teaching, comparisons and B-roll are true full-screen. No burned-in long-form transcript captions; final SRT and chapters follow the actual edit. One brief, quiet Subscribe cue after value, not another spoken ask.</w:t>
      </w:r>
    </w:p>
    <w:p>
      <w:pPr>
        <w:spacing w:after="120"/>
      </w:pPr>
      <w:r>
        <w:rPr>
          <w:rFonts w:ascii="Calibri" w:hAnsi="Calibri"/>
          <w:b w:val="0"/>
          <w:color w:val="25344A"/>
          <w:sz w:val="20"/>
        </w:rPr>
        <w:t>Keep the existing three-candidate Shorts bank; this handoff does not create new Shorts. Audit any extract against the current source before reuse. Re-anchor only changed source triggers and update only affected graphics, metadata, cue maps and dependent documents. Historical packages stay untouched.</w:t>
      </w:r>
    </w:p>
    <w:p>
      <w:pPr>
        <w:spacing w:after="0"/>
      </w:pPr>
      <w:r>
        <w:rPr>
          <w:rFonts w:ascii="Calibri" w:hAnsi="Calibri"/>
          <w:b w:val="0"/>
          <w:color w:val="4D5A6C"/>
          <w:sz w:val="17"/>
        </w:rPr>
        <w:t>Source: latest September 16 BEAST MODE master, the curiosity/outcome companion brief, and Temidayo’s current early-edit clarification. All quoted trigger excerpts occur in the current script. Instructions are proposed editing choices, not a certification of rendered assets or the finished video.</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V6  •  Early-curiosity editing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V6   |   EARLY-CURIOSITY EDITING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V6 | Early-curiosity editing brief | Decode a Job Description in 10 Minutes</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