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V7  |  FORMER ROADMAP V24</w:t>
      </w:r>
    </w:p>
    <w:p>
      <w:pPr>
        <w:spacing w:after="140"/>
      </w:pPr>
      <w:r>
        <w:rPr>
          <w:rFonts w:ascii="Calibri" w:hAnsi="Calibri"/>
          <w:b/>
          <w:color w:val="112345"/>
          <w:sz w:val="38"/>
        </w:rPr>
        <w:t>I’ve Seen Who Gets the Bigger Role and Why</w:t>
      </w:r>
    </w:p>
    <w:p>
      <w:pPr>
        <w:spacing w:after="120"/>
      </w:pPr>
      <w:r>
        <w:rPr>
          <w:rFonts w:ascii="Calibri" w:hAnsi="Calibri"/>
          <w:b/>
          <w:color w:val="112345"/>
          <w:sz w:val="21"/>
        </w:rPr>
        <w:t>THUMBNAIL: THEY CHOSE SOMEONE ELSE</w:t>
      </w:r>
    </w:p>
    <w:p>
      <w:pPr>
        <w:spacing w:after="60"/>
      </w:pPr>
      <w:r>
        <w:rPr>
          <w:rFonts w:ascii="Calibri" w:hAnsi="Calibri"/>
          <w:b/>
          <w:color w:val="4D5A6C"/>
          <w:sz w:val="20"/>
        </w:rPr>
        <w:t>EDITOR ONLY | Long-form curiosity, sound, cutaways and outcomes</w:t>
      </w:r>
    </w:p>
    <w:p>
      <w:pPr>
        <w:spacing w:after="160"/>
      </w:pPr>
      <w:r>
        <w:rPr>
          <w:rFonts w:ascii="Calibri" w:hAnsi="Calibri"/>
          <w:b w:val="0"/>
          <w:color w:val="4D5A6C"/>
          <w:sz w:val="16"/>
        </w:rPr>
        <w:t>Created Wednesday, September 16, 2026 | 10:06 AM CT (CDT, UTC-05:00)</w:t>
      </w:r>
    </w:p>
    <w:p>
      <w:pPr>
        <w:spacing w:after="140"/>
        <w:shd w:fill="F5F1E8"/>
      </w:pPr>
      <w:r>
        <w:rPr>
          <w:rFonts w:ascii="Calibri" w:hAnsi="Calibri"/>
          <w:b/>
          <w:color w:val="112345"/>
          <w:sz w:val="22"/>
        </w:rPr>
        <w:t>CAMERA-LED DOES NOT MEAN CAMERA-ONLY AT THE START.</w:t>
      </w:r>
    </w:p>
    <w:p>
      <w:pPr>
        <w:spacing w:after="140"/>
      </w:pPr>
      <w:r>
        <w:rPr>
          <w:rFonts w:ascii="Calibri" w:hAnsi="Calibri"/>
          <w:b w:val="0"/>
          <w:color w:val="25344A"/>
          <w:sz w:val="21"/>
        </w:rPr>
        <w:t>Begin with the first spoken line, not a logo or welcome sequence. Editorial opening text and a useful cutaway can arrive in the first few seconds. The optional personal-intro window is not a waiting period for visuals or sound. Use the exact anchors below, not guessed playback timestamps.</w:t>
      </w:r>
    </w:p>
    <w:p>
      <w:pPr>
        <w:pStyle w:val="Heading2"/>
        <w:spacing w:after="120"/>
      </w:pPr>
      <w:r>
        <w:rPr>
          <w:rFonts w:ascii="Calibri" w:hAnsi="Calibri"/>
          <w:b w:val="0"/>
          <w:color w:val="25344A"/>
        </w:rPr>
        <w:t>The viewer’s reason to watch</w:t>
      </w:r>
    </w:p>
    <w:p>
      <w:pPr>
        <w:spacing w:after="80"/>
      </w:pPr>
      <w:r>
        <w:rPr>
          <w:rFonts w:ascii="Calibri" w:hAnsi="Calibri"/>
          <w:b w:val="0"/>
          <w:color w:val="25344A"/>
          <w:sz w:val="21"/>
        </w:rPr>
        <w:t>OUTCOME: Identify next-level work to practice or make visible, without treating every selection decision as a verdict on personal capability.</w:t>
      </w:r>
    </w:p>
    <w:p>
      <w:pPr>
        <w:spacing w:after="80"/>
      </w:pPr>
      <w:r>
        <w:rPr>
          <w:rFonts w:ascii="Calibri" w:hAnsi="Calibri"/>
          <w:b w:val="0"/>
          <w:color w:val="25344A"/>
          <w:sz w:val="21"/>
        </w:rPr>
        <w:t>CURIOSITY: If the bigger role opened tomorrow, what could someone already point to for you?</w:t>
      </w:r>
    </w:p>
    <w:p>
      <w:pPr>
        <w:spacing w:after="80"/>
      </w:pPr>
      <w:r>
        <w:rPr>
          <w:rFonts w:ascii="Calibri" w:hAnsi="Calibri"/>
          <w:b w:val="0"/>
          <w:color w:val="25344A"/>
          <w:sz w:val="21"/>
        </w:rPr>
        <w:t>WHY THIS METHOD: Naming the next decision or problem makes readiness more concrete than taking on unlimited extra work.</w:t>
      </w:r>
    </w:p>
    <w:p>
      <w:pPr>
        <w:spacing w:after="140"/>
      </w:pPr>
      <w:r>
        <w:rPr>
          <w:rFonts w:ascii="Calibri" w:hAnsi="Calibri"/>
          <w:b w:val="0"/>
          <w:color w:val="25344A"/>
          <w:sz w:val="21"/>
        </w:rPr>
        <w:t>OBSERVABLE TAKEAWAY: A next-level decision or problem and a person who has seen relevant work can be named; access and organizational constraints are still assessed.</w:t>
      </w:r>
    </w:p>
    <w:p>
      <w:pPr>
        <w:pStyle w:val="Heading2"/>
        <w:spacing w:after="120"/>
      </w:pPr>
      <w:r>
        <w:rPr>
          <w:rFonts w:ascii="Calibri" w:hAnsi="Calibri"/>
          <w:b w:val="0"/>
          <w:color w:val="25344A"/>
        </w:rPr>
        <w:t>Opening treatment | first spoken beats</w:t>
      </w:r>
    </w:p>
    <w:p>
      <w:pPr>
        <w:keepNext/>
        <w:spacing w:after="60"/>
      </w:pPr>
      <w:r>
        <w:rPr>
          <w:rFonts w:ascii="Calibri" w:hAnsi="Calibri"/>
          <w:b/>
          <w:color w:val="112345"/>
          <w:sz w:val="20"/>
        </w:rPr>
        <w:t>1. CAMERA, THEN TRUE FULL-SCREEN CUTAWAY  |  S1: brief sound stinger</w:t>
      </w:r>
    </w:p>
    <w:p>
      <w:pPr>
        <w:keepNext/>
        <w:spacing w:after="60"/>
      </w:pPr>
      <w:r>
        <w:rPr>
          <w:rFonts w:ascii="Calibri" w:hAnsi="Calibri"/>
          <w:b w:val="0"/>
          <w:color w:val="25344A"/>
          <w:sz w:val="20"/>
        </w:rPr>
        <w:t>Exact spoken trigger: “Two people can both be good at their jobs.”</w:t>
      </w:r>
    </w:p>
    <w:p>
      <w:pPr>
        <w:keepNext/>
        <w:spacing w:after="60"/>
      </w:pPr>
      <w:r>
        <w:rPr>
          <w:rFonts w:ascii="Calibri" w:hAnsi="Calibri"/>
          <w:b/>
          <w:color w:val="25344A"/>
          <w:sz w:val="20"/>
        </w:rPr>
        <w:t>Display copy: TWO CAPABLE PEOPLE</w:t>
      </w:r>
    </w:p>
    <w:p>
      <w:pPr>
        <w:spacing w:after="140"/>
      </w:pPr>
      <w:r>
        <w:rPr>
          <w:rFonts w:ascii="Calibri" w:hAnsi="Calibri"/>
          <w:b w:val="0"/>
          <w:color w:val="25344A"/>
          <w:sz w:val="20"/>
        </w:rPr>
        <w:t>Begin with her voice and face, then show two equivalent person cards during the first thought. Do not wait through all the setup.</w:t>
      </w:r>
    </w:p>
    <w:p>
      <w:pPr>
        <w:keepNext/>
        <w:spacing w:after="60"/>
      </w:pPr>
      <w:r>
        <w:rPr>
          <w:rFonts w:ascii="Calibri" w:hAnsi="Calibri"/>
          <w:b/>
          <w:color w:val="112345"/>
          <w:sz w:val="20"/>
        </w:rPr>
        <w:t>2. TRUE FULL-SCREEN SELECTION CUE  |  S2: brief sound stinger</w:t>
      </w:r>
    </w:p>
    <w:p>
      <w:pPr>
        <w:keepNext/>
        <w:spacing w:after="60"/>
      </w:pPr>
      <w:r>
        <w:rPr>
          <w:rFonts w:ascii="Calibri" w:hAnsi="Calibri"/>
          <w:b w:val="0"/>
          <w:color w:val="25344A"/>
          <w:sz w:val="20"/>
        </w:rPr>
        <w:t>Exact spoken trigger: “One person’s name comes up.”</w:t>
      </w:r>
    </w:p>
    <w:p>
      <w:pPr>
        <w:keepNext/>
        <w:spacing w:after="60"/>
      </w:pPr>
      <w:r>
        <w:rPr>
          <w:rFonts w:ascii="Calibri" w:hAnsi="Calibri"/>
          <w:b/>
          <w:color w:val="25344A"/>
          <w:sz w:val="20"/>
        </w:rPr>
        <w:t>Display copy: ONE NAME COMES UP</w:t>
      </w:r>
    </w:p>
    <w:p>
      <w:pPr>
        <w:spacing w:after="140"/>
      </w:pPr>
      <w:r>
        <w:rPr>
          <w:rFonts w:ascii="Calibri" w:hAnsi="Calibri"/>
          <w:b w:val="0"/>
          <w:color w:val="25344A"/>
          <w:sz w:val="20"/>
        </w:rPr>
        <w:t>Select one identical card as this and the next line are spoken. No taller figure, score, trophy or better-person symbol.</w:t>
      </w:r>
    </w:p>
    <w:p>
      <w:pPr>
        <w:keepNext/>
        <w:spacing w:after="60"/>
      </w:pPr>
      <w:r>
        <w:rPr>
          <w:rFonts w:ascii="Calibri" w:hAnsi="Calibri"/>
          <w:b/>
          <w:color w:val="112345"/>
          <w:sz w:val="20"/>
        </w:rPr>
        <w:t>3. RETURN TO CAMERA</w:t>
      </w:r>
    </w:p>
    <w:p>
      <w:pPr>
        <w:keepNext/>
        <w:spacing w:after="60"/>
      </w:pPr>
      <w:r>
        <w:rPr>
          <w:rFonts w:ascii="Calibri" w:hAnsi="Calibri"/>
          <w:b w:val="0"/>
          <w:color w:val="25344A"/>
          <w:sz w:val="20"/>
        </w:rPr>
        <w:t>Exact spoken trigger: “the difference is not always who worked harder.”</w:t>
      </w:r>
    </w:p>
    <w:p>
      <w:pPr>
        <w:keepNext/>
        <w:spacing w:after="60"/>
      </w:pPr>
      <w:r>
        <w:rPr>
          <w:rFonts w:ascii="Calibri" w:hAnsi="Calibri"/>
          <w:b/>
          <w:color w:val="25344A"/>
          <w:sz w:val="20"/>
        </w:rPr>
        <w:t>Display copy: NOT ALWAYS ABOUT WORKING HARDER</w:t>
      </w:r>
    </w:p>
    <w:p>
      <w:pPr>
        <w:spacing w:after="140"/>
      </w:pPr>
      <w:r>
        <w:rPr>
          <w:rFonts w:ascii="Calibri" w:hAnsi="Calibri"/>
          <w:b w:val="0"/>
          <w:color w:val="25344A"/>
          <w:sz w:val="20"/>
        </w:rPr>
        <w:t>Return for the lived interpretation. Keep the following access, sponsorship, bias and politics lines intact, not hidden under a merit graphic.</w:t>
      </w:r>
    </w:p>
    <w:p>
      <w:pPr>
        <w:spacing w:after="0"/>
      </w:pPr>
      <w:r>
        <w:rPr>
          <w:rFonts w:ascii="Calibri" w:hAnsi="Calibri"/>
          <w:b w:val="0"/>
          <w:color w:val="4D5A6C"/>
          <w:sz w:val="18"/>
        </w:rPr>
        <w:t>Display copy is editorial text, not a changed transcript. The underlying voice continues through cutaways. Hold for comprehension, then return to her interpretation. No repetitive word-by-word long-form captions.</w:t>
      </w:r>
    </w:p>
    <w:p>
      <w:r>
        <w:br w:type="page"/>
      </w:r>
    </w:p>
    <w:p>
      <w:pPr>
        <w:spacing w:after="140"/>
      </w:pPr>
      <w:r>
        <w:rPr>
          <w:rFonts w:ascii="Calibri" w:hAnsi="Calibri"/>
          <w:b/>
          <w:color w:val="112345"/>
          <w:sz w:val="36"/>
        </w:rPr>
        <w:t>Make the teaching usable</w:t>
      </w:r>
    </w:p>
    <w:p>
      <w:pPr>
        <w:spacing w:after="160"/>
      </w:pPr>
      <w:r>
        <w:rPr>
          <w:rFonts w:ascii="Calibri" w:hAnsi="Calibri"/>
          <w:b w:val="0"/>
          <w:color w:val="25344A"/>
          <w:sz w:val="21"/>
        </w:rPr>
        <w:t>Keep the activities. Show why the viewer would do them and the specific answer, note, or conversation they leave with. Do not replace practical teaching with bigger promises.</w:t>
      </w:r>
    </w:p>
    <w:p>
      <w:pPr>
        <w:pStyle w:val="Heading2"/>
        <w:spacing w:after="60"/>
      </w:pPr>
      <w:r>
        <w:rPr>
          <w:rFonts w:ascii="Calibri" w:hAnsi="Calibri"/>
          <w:b/>
          <w:color w:val="112345"/>
          <w:sz w:val="21"/>
        </w:rPr>
        <w:t>1. FOUR THINGS I LOOK FOR  |  S3</w:t>
      </w:r>
    </w:p>
    <w:p>
      <w:pPr>
        <w:keepNext/>
        <w:spacing w:after="80"/>
      </w:pPr>
      <w:r>
        <w:rPr>
          <w:rFonts w:ascii="Calibri" w:hAnsi="Calibri"/>
          <w:b w:val="0"/>
          <w:color w:val="25344A"/>
          <w:sz w:val="21"/>
        </w:rPr>
        <w:t>Exact spoken trigger: “When I have seen bigger work handed out”</w:t>
      </w:r>
    </w:p>
    <w:p>
      <w:pPr>
        <w:keepNext/>
        <w:spacing w:after="80"/>
      </w:pPr>
      <w:r>
        <w:rPr>
          <w:rFonts w:ascii="Calibri" w:hAnsi="Calibri"/>
          <w:b/>
          <w:color w:val="25344A"/>
          <w:sz w:val="20"/>
        </w:rPr>
        <w:t>TRUE FULL-SCREEN TEACHING  |  VISIBLE PROOF / JUDGMENT / TRUST / SPONSORSHIP + ACCESS</w:t>
      </w:r>
    </w:p>
    <w:p>
      <w:pPr>
        <w:spacing w:after="160"/>
      </w:pPr>
      <w:r>
        <w:rPr>
          <w:rFonts w:ascii="Calibri" w:hAnsi="Calibri"/>
          <w:b w:val="0"/>
          <w:color w:val="25344A"/>
          <w:sz w:val="21"/>
        </w:rPr>
        <w:t>Reveal the dimensions when taught; one click at the first item only, not at every label. This is her reading of situations, not a scored universal formula.</w:t>
      </w:r>
    </w:p>
    <w:p>
      <w:pPr>
        <w:pStyle w:val="Heading2"/>
        <w:spacing w:after="60"/>
      </w:pPr>
      <w:r>
        <w:rPr>
          <w:rFonts w:ascii="Calibri" w:hAnsi="Calibri"/>
          <w:b/>
          <w:color w:val="112345"/>
          <w:sz w:val="21"/>
        </w:rPr>
        <w:t>2. A CONVERSATION YOU CAN HAVE  |  S4</w:t>
      </w:r>
    </w:p>
    <w:p>
      <w:pPr>
        <w:keepNext/>
        <w:spacing w:after="80"/>
      </w:pPr>
      <w:r>
        <w:rPr>
          <w:rFonts w:ascii="Calibri" w:hAnsi="Calibri"/>
          <w:b w:val="0"/>
          <w:color w:val="25344A"/>
          <w:sz w:val="21"/>
        </w:rPr>
        <w:t>Exact spoken trigger: “what would you need to see me handle that you have not seen yet?”</w:t>
      </w:r>
    </w:p>
    <w:p>
      <w:pPr>
        <w:keepNext/>
        <w:spacing w:after="80"/>
      </w:pPr>
      <w:r>
        <w:rPr>
          <w:rFonts w:ascii="Calibri" w:hAnsi="Calibri"/>
          <w:b/>
          <w:color w:val="25344A"/>
          <w:sz w:val="20"/>
        </w:rPr>
        <w:t>TRUE FULL-SCREEN CONVERSATION  |  ASK FOR A CLEARER TARGET</w:t>
      </w:r>
    </w:p>
    <w:p>
      <w:pPr>
        <w:spacing w:after="160"/>
      </w:pPr>
      <w:r>
        <w:rPr>
          <w:rFonts w:ascii="Calibri" w:hAnsi="Calibri"/>
          <w:b w:val="0"/>
          <w:color w:val="25344A"/>
          <w:sz w:val="21"/>
        </w:rPr>
        <w:t>Show the exact complete source question in two readable states. Then return to her for “You are not asking for a promise.”</w:t>
      </w:r>
    </w:p>
    <w:p>
      <w:pPr>
        <w:pStyle w:val="Heading2"/>
        <w:spacing w:after="60"/>
      </w:pPr>
      <w:r>
        <w:rPr>
          <w:rFonts w:ascii="Calibri" w:hAnsi="Calibri"/>
          <w:b/>
          <w:color w:val="112345"/>
          <w:sz w:val="21"/>
        </w:rPr>
        <w:t>3. READ YOUR OWN SITUATION</w:t>
      </w:r>
    </w:p>
    <w:p>
      <w:pPr>
        <w:keepNext/>
        <w:spacing w:after="80"/>
      </w:pPr>
      <w:r>
        <w:rPr>
          <w:rFonts w:ascii="Calibri" w:hAnsi="Calibri"/>
          <w:b w:val="0"/>
          <w:color w:val="25344A"/>
          <w:sz w:val="21"/>
        </w:rPr>
        <w:t>Exact spoken trigger: “Write down the last three times”</w:t>
      </w:r>
    </w:p>
    <w:p>
      <w:pPr>
        <w:keepNext/>
        <w:spacing w:after="80"/>
      </w:pPr>
      <w:r>
        <w:rPr>
          <w:rFonts w:ascii="Calibri" w:hAnsi="Calibri"/>
          <w:b/>
          <w:color w:val="25344A"/>
          <w:sz w:val="20"/>
        </w:rPr>
        <w:t>TRUE FULL-SCREEN WORKING NOTE  |  PROBLEM / MY DECISION / WHO SAW IT / WHAT CHANGED</w:t>
      </w:r>
    </w:p>
    <w:p>
      <w:pPr>
        <w:spacing w:after="160"/>
      </w:pPr>
      <w:r>
        <w:rPr>
          <w:rFonts w:ascii="Calibri" w:hAnsi="Calibri"/>
          <w:b w:val="0"/>
          <w:color w:val="25344A"/>
          <w:sz w:val="21"/>
        </w:rPr>
        <w:t>Show three placeholder assignment rows and one active question at a time. Do not fill them with invented personal results.</w:t>
      </w:r>
    </w:p>
    <w:p>
      <w:pPr>
        <w:pStyle w:val="Heading2"/>
        <w:spacing w:after="60"/>
      </w:pPr>
      <w:r>
        <w:rPr>
          <w:rFonts w:ascii="Calibri" w:hAnsi="Calibri"/>
          <w:b/>
          <w:color w:val="112345"/>
          <w:sz w:val="21"/>
        </w:rPr>
        <w:t>4. STORY LOOP PAYOFF  |  S5</w:t>
      </w:r>
    </w:p>
    <w:p>
      <w:pPr>
        <w:keepNext/>
        <w:spacing w:after="80"/>
      </w:pPr>
      <w:r>
        <w:rPr>
          <w:rFonts w:ascii="Calibri" w:hAnsi="Calibri"/>
          <w:b w:val="0"/>
          <w:color w:val="25344A"/>
          <w:sz w:val="21"/>
        </w:rPr>
        <w:t>Exact spoken trigger: “what could someone already point to?”</w:t>
      </w:r>
    </w:p>
    <w:p>
      <w:pPr>
        <w:keepNext/>
        <w:spacing w:after="80"/>
      </w:pPr>
      <w:r>
        <w:rPr>
          <w:rFonts w:ascii="Calibri" w:hAnsi="Calibri"/>
          <w:b/>
          <w:color w:val="25344A"/>
          <w:sz w:val="20"/>
        </w:rPr>
        <w:t>CAMERA + BRIEF QUESTION CALLBACK  |  WHAT COULD THEY POINT TO?</w:t>
      </w:r>
    </w:p>
    <w:p>
      <w:pPr>
        <w:spacing w:after="160"/>
      </w:pPr>
      <w:r>
        <w:rPr>
          <w:rFonts w:ascii="Calibri" w:hAnsi="Calibri"/>
          <w:b w:val="0"/>
          <w:color w:val="25344A"/>
          <w:sz w:val="21"/>
        </w:rPr>
        <w:t>Bring back the opening selection question. If evidence is strong but opportunities remain blocked, preserve the environmental interpretation.</w:t>
      </w:r>
    </w:p>
    <w:p>
      <w:pPr>
        <w:pStyle w:val="Heading2"/>
        <w:spacing w:after="120"/>
      </w:pPr>
      <w:r>
        <w:rPr>
          <w:rFonts w:ascii="Calibri" w:hAnsi="Calibri"/>
          <w:b w:val="0"/>
          <w:color w:val="25344A"/>
        </w:rPr>
        <w:t>Meaningful B-roll / artifact options</w:t>
      </w:r>
    </w:p>
    <w:p>
      <w:pPr>
        <w:spacing w:after="120"/>
      </w:pPr>
      <w:r>
        <w:rPr>
          <w:rFonts w:ascii="Calibri" w:hAnsi="Calibri"/>
          <w:b w:val="0"/>
          <w:color w:val="25344A"/>
          <w:sz w:val="21"/>
        </w:rPr>
        <w:t>Use the two-person illustration and a clearly illustrative assignment record. These are relevant visual interruptions; an extra corporate-meeting montage is unnecessary.</w:t>
      </w:r>
    </w:p>
    <w:p>
      <w:pPr>
        <w:spacing w:after="0"/>
      </w:pPr>
      <w:r>
        <w:rPr>
          <w:rFonts w:ascii="Calibri" w:hAnsi="Calibri"/>
          <w:b w:val="0"/>
          <w:color w:val="4D5A6C"/>
          <w:sz w:val="18"/>
        </w:rPr>
        <w:t>Show examples as examples. Do not fabricate personal outcomes, employer records, screenshots, research results, or evidence. New visuals are proposed instructions here, not delivered slide files.</w:t>
      </w:r>
    </w:p>
    <w:p>
      <w:r>
        <w:br w:type="page"/>
      </w:r>
    </w:p>
    <w:p>
      <w:pPr>
        <w:spacing w:after="140"/>
      </w:pPr>
      <w:r>
        <w:rPr>
          <w:rFonts w:ascii="Calibri" w:hAnsi="Calibri"/>
          <w:b/>
          <w:color w:val="112345"/>
          <w:sz w:val="36"/>
        </w:rPr>
        <w:t>Sound, delivery and handoff</w:t>
      </w:r>
    </w:p>
    <w:p>
      <w:pPr>
        <w:pStyle w:val="Heading2"/>
        <w:spacing w:after="120"/>
      </w:pPr>
      <w:r>
        <w:rPr>
          <w:rFonts w:ascii="Calibri" w:hAnsi="Calibri"/>
          <w:b w:val="0"/>
          <w:color w:val="25344A"/>
        </w:rPr>
        <w:t>Sound plan</w:t>
      </w:r>
    </w:p>
    <w:p>
      <w:pPr>
        <w:spacing w:after="120"/>
      </w:pPr>
      <w:r>
        <w:rPr>
          <w:rFonts w:ascii="Calibri" w:hAnsi="Calibri"/>
          <w:b w:val="0"/>
          <w:color w:val="25344A"/>
          <w:sz w:val="21"/>
        </w:rPr>
        <w:t>Five planned accents, S1–S5, are marked on exact source passages. S1 occurs in the opening. A stinger means a brief sound cue: a quiet click, soft tap, paper movement, or restrained tonal accent. Text or a cutaway is a separate visual choice.</w:t>
      </w:r>
    </w:p>
    <w:p>
      <w:pPr>
        <w:spacing w:after="140"/>
      </w:pPr>
      <w:r>
        <w:rPr>
          <w:rFonts w:ascii="Calibri" w:hAnsi="Calibri"/>
          <w:b w:val="0"/>
          <w:color w:val="25344A"/>
          <w:sz w:val="21"/>
        </w:rPr>
        <w:t>Audition each cue under the actual voice. Keep speech clear; no alarms, loud whooshes, compulsory background music or sound on every bullet. Do not add a second effect when an existing cue already does the job. Five is an editorial plan, not a measured export count or retention guarantee.</w:t>
      </w:r>
    </w:p>
    <w:p>
      <w:pPr>
        <w:pStyle w:val="Heading2"/>
        <w:spacing w:after="120"/>
      </w:pPr>
      <w:r>
        <w:rPr>
          <w:rFonts w:ascii="Calibri" w:hAnsi="Calibri"/>
          <w:b w:val="0"/>
          <w:color w:val="25344A"/>
        </w:rPr>
        <w:t>Camera emphasis | four proposed beats</w:t>
      </w:r>
    </w:p>
    <w:p>
      <w:pPr>
        <w:spacing w:after="60"/>
      </w:pPr>
      <w:r>
        <w:rPr>
          <w:rFonts w:ascii="Calibri" w:hAnsi="Calibri"/>
          <w:b w:val="0"/>
          <w:color w:val="25344A"/>
          <w:sz w:val="21"/>
        </w:rPr>
        <w:t>• Base for the lived organizational observation.</w:t>
      </w:r>
    </w:p>
    <w:p>
      <w:pPr>
        <w:spacing w:after="60"/>
      </w:pPr>
      <w:r>
        <w:rPr>
          <w:rFonts w:ascii="Calibri" w:hAnsi="Calibri"/>
          <w:b w:val="0"/>
          <w:color w:val="25344A"/>
          <w:sz w:val="21"/>
        </w:rPr>
        <w:t>• Gentle push-in at evidence for the current role versus the next.</w:t>
      </w:r>
    </w:p>
    <w:p>
      <w:pPr>
        <w:spacing w:after="60"/>
      </w:pPr>
      <w:r>
        <w:rPr>
          <w:rFonts w:ascii="Calibri" w:hAnsi="Calibri"/>
          <w:b w:val="0"/>
          <w:color w:val="25344A"/>
          <w:sz w:val="21"/>
        </w:rPr>
        <w:t>• Return to base for “Even if you build the right evidence…”</w:t>
      </w:r>
    </w:p>
    <w:p>
      <w:pPr>
        <w:spacing w:after="60"/>
      </w:pPr>
      <w:r>
        <w:rPr>
          <w:rFonts w:ascii="Calibri" w:hAnsi="Calibri"/>
          <w:b w:val="0"/>
          <w:color w:val="25344A"/>
          <w:sz w:val="21"/>
        </w:rPr>
        <w:t>• Final push-in at the opening question’s payoff.</w:t>
      </w:r>
    </w:p>
    <w:p>
      <w:pPr>
        <w:spacing w:after="140"/>
      </w:pPr>
      <w:r>
        <w:rPr>
          <w:rFonts w:ascii="Calibri" w:hAnsi="Calibri"/>
          <w:b w:val="0"/>
          <w:color w:val="25344A"/>
          <w:sz w:val="21"/>
        </w:rPr>
        <w:t>Use gentle push-ins or a return to the base frame. Keep natural pauses. Do not make every thought-block boundary a visible hard cut. Do not remove sentences to manufacture pace.</w:t>
      </w:r>
    </w:p>
    <w:p>
      <w:pPr>
        <w:pStyle w:val="Heading2"/>
        <w:spacing w:after="120"/>
      </w:pPr>
      <w:r>
        <w:rPr>
          <w:rFonts w:ascii="Calibri" w:hAnsi="Calibri"/>
          <w:b w:val="0"/>
          <w:color w:val="25344A"/>
        </w:rPr>
        <w:t>Public boundary to preserve</w:t>
      </w:r>
    </w:p>
    <w:p>
      <w:pPr>
        <w:spacing w:after="140"/>
      </w:pPr>
      <w:r>
        <w:rPr>
          <w:rFonts w:ascii="Calibri" w:hAnsi="Calibri"/>
          <w:b w:val="0"/>
          <w:color w:val="25344A"/>
          <w:sz w:val="21"/>
        </w:rPr>
        <w:t>No pure-merit conclusion. Keep practiced judgment, trust, sponsorship, access, bias, politics, timing and manager behavior. Do not frame more visibility as a guarantee or responsibility as automatic development.</w:t>
      </w:r>
    </w:p>
    <w:p>
      <w:pPr>
        <w:pStyle w:val="Heading2"/>
        <w:spacing w:after="120"/>
      </w:pPr>
      <w:r>
        <w:rPr>
          <w:rFonts w:ascii="Calibri" w:hAnsi="Calibri"/>
          <w:b w:val="0"/>
          <w:color w:val="25344A"/>
        </w:rPr>
        <w:t>Final sequence and one primary ask</w:t>
      </w:r>
    </w:p>
    <w:p>
      <w:pPr>
        <w:spacing w:after="100"/>
      </w:pPr>
      <w:r>
        <w:rPr>
          <w:rFonts w:ascii="Calibri" w:hAnsi="Calibri"/>
          <w:b w:val="0"/>
          <w:color w:val="25344A"/>
          <w:sz w:val="21"/>
        </w:rPr>
        <w:t>Keep the source TAKEAWAY VALUE, STORY LOOP PAYOFF, CLOSE and CONFIDENCE / VIEWER OUTCOME in order. They already carry the useful outcome; do not add another outcome speech or repeated ending.</w:t>
      </w:r>
    </w:p>
    <w:p>
      <w:pPr>
        <w:spacing w:after="100"/>
      </w:pPr>
      <w:r>
        <w:rPr>
          <w:rFonts w:ascii="Calibri" w:hAnsi="Calibri"/>
          <w:b w:val="0"/>
          <w:color w:val="25344A"/>
          <w:sz w:val="21"/>
        </w:rPr>
        <w:t>Exact Watch Next: “And if the frustrating part is that your work is clearly valued but you still keep getting overlooked, watch “What to Do When Your Work Is Valued but You Are Overlooked” next.”</w:t>
      </w:r>
    </w:p>
    <w:p>
      <w:pPr>
        <w:spacing w:after="120"/>
      </w:pPr>
      <w:r>
        <w:rPr>
          <w:rFonts w:ascii="Calibri" w:hAnsi="Calibri"/>
          <w:b w:val="0"/>
          <w:color w:val="25344A"/>
          <w:sz w:val="21"/>
        </w:rPr>
        <w:t>Switch to TRUE FULL-SCREEN for Watch Next from the start of that passage. The final Watch Next graphic is the last frame. Never return to camera. Verify the destination’s live status before upload; do not invent a link or silently substitute the spoken destination.</w:t>
      </w:r>
    </w:p>
    <w:p>
      <w:pPr>
        <w:spacing w:after="120"/>
      </w:pPr>
      <w:r>
        <w:rPr>
          <w:rFonts w:ascii="Calibri" w:hAnsi="Calibri"/>
          <w:b w:val="0"/>
          <w:color w:val="25344A"/>
          <w:sz w:val="20"/>
        </w:rPr>
        <w:t>Career Evidence Starter; one description-only resource. Keep the approved URL from the current publishing layer.</w:t>
      </w:r>
    </w:p>
    <w:p>
      <w:pPr>
        <w:pStyle w:val="Heading2"/>
        <w:spacing w:after="120"/>
      </w:pPr>
      <w:r>
        <w:rPr>
          <w:rFonts w:ascii="Calibri" w:hAnsi="Calibri"/>
          <w:b w:val="0"/>
          <w:color w:val="25344A"/>
        </w:rPr>
        <w:t>Production guardrails</w:t>
      </w:r>
    </w:p>
    <w:p>
      <w:pPr>
        <w:spacing w:after="120"/>
      </w:pPr>
      <w:r>
        <w:rPr>
          <w:rFonts w:ascii="Calibri" w:hAnsi="Calibri"/>
          <w:b w:val="0"/>
          <w:color w:val="25344A"/>
          <w:sz w:val="20"/>
        </w:rPr>
        <w:t>16:9; 1920 × 1080 minimum. Palette: navy #112345, cream #F5F1E8, muted gold #C9A84C, warm yellow #F2C44C. Short editorial hook text is allowed over camera. Substantive teaching, comparisons and B-roll are true full-screen. No burned-in long-form transcript captions; final SRT and chapters follow the actual edit. One brief, quiet Subscribe cue after value, not another spoken ask.</w:t>
      </w:r>
    </w:p>
    <w:p>
      <w:pPr>
        <w:spacing w:after="120"/>
      </w:pPr>
      <w:r>
        <w:rPr>
          <w:rFonts w:ascii="Calibri" w:hAnsi="Calibri"/>
          <w:b w:val="0"/>
          <w:color w:val="25344A"/>
          <w:sz w:val="20"/>
        </w:rPr>
        <w:t>Keep the existing three-candidate Shorts bank; this handoff does not create new Shorts. Audit any extract against the current source before reuse. Re-anchor only changed source triggers and update only affected graphics, metadata, cue maps and dependent documents. Historical packages stay untouched.</w:t>
      </w:r>
    </w:p>
    <w:p>
      <w:pPr>
        <w:spacing w:after="0"/>
      </w:pPr>
      <w:r>
        <w:rPr>
          <w:rFonts w:ascii="Calibri" w:hAnsi="Calibri"/>
          <w:b w:val="0"/>
          <w:color w:val="4D5A6C"/>
          <w:sz w:val="17"/>
        </w:rPr>
        <w:t>Source: latest September 16 BEAST MODE master, the curiosity/outcome companion brief, and Temidayo’s current early-edit clarification. All quoted trigger excerpts occur in the current script. Instructions are proposed editing choices, not a certification of rendered assets or the finished video.</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V7  •  Early-curiosity editing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V7   |   EARLY-CURIOSITY EDITING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V7 | Early-curiosity editing brief | I’ve Seen Who Gets the Bigger Role and Why</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