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rFonts w:ascii="Calibri" w:hAnsi="Calibri"/>
          <w:b/>
          <w:color w:val="112345"/>
          <w:sz w:val="18"/>
        </w:rPr>
        <w:t>NEW PUBLIC V8  |  FORMER ROADMAP V28</w:t>
      </w:r>
    </w:p>
    <w:p>
      <w:pPr>
        <w:spacing w:after="140"/>
      </w:pPr>
      <w:r>
        <w:rPr>
          <w:rFonts w:ascii="Calibri" w:hAnsi="Calibri"/>
          <w:b/>
          <w:color w:val="112345"/>
          <w:sz w:val="38"/>
        </w:rPr>
        <w:t>What Disappears When Your Work Access Ends</w:t>
      </w:r>
    </w:p>
    <w:p>
      <w:pPr>
        <w:spacing w:after="120"/>
      </w:pPr>
      <w:r>
        <w:rPr>
          <w:rFonts w:ascii="Calibri" w:hAnsi="Calibri"/>
          <w:b/>
          <w:color w:val="112345"/>
          <w:sz w:val="21"/>
        </w:rPr>
        <w:t>THUMBNAIL: YOU CAN’T PROVE IT LATER</w:t>
      </w:r>
    </w:p>
    <w:p>
      <w:pPr>
        <w:spacing w:after="60"/>
      </w:pPr>
      <w:r>
        <w:rPr>
          <w:rFonts w:ascii="Calibri" w:hAnsi="Calibri"/>
          <w:b/>
          <w:color w:val="4D5A6C"/>
          <w:sz w:val="20"/>
        </w:rPr>
        <w:t>EDITOR ONLY | Long-form curiosity, sound, cutaways and outcomes</w:t>
      </w:r>
    </w:p>
    <w:p>
      <w:pPr>
        <w:spacing w:after="160"/>
      </w:pPr>
      <w:r>
        <w:rPr>
          <w:rFonts w:ascii="Calibri" w:hAnsi="Calibri"/>
          <w:b w:val="0"/>
          <w:color w:val="4D5A6C"/>
          <w:sz w:val="16"/>
        </w:rPr>
        <w:t>Created Wednesday, September 16, 2026 | 10:06 AM CT (CDT, UTC-05:00)</w:t>
      </w:r>
    </w:p>
    <w:p>
      <w:pPr>
        <w:spacing w:after="140"/>
        <w:shd w:fill="F5F1E8"/>
      </w:pPr>
      <w:r>
        <w:rPr>
          <w:rFonts w:ascii="Calibri" w:hAnsi="Calibri"/>
          <w:b/>
          <w:color w:val="112345"/>
          <w:sz w:val="22"/>
        </w:rPr>
        <w:t>CAMERA-LED DOES NOT MEAN CAMERA-ONLY AT THE START.</w:t>
      </w:r>
    </w:p>
    <w:p>
      <w:pPr>
        <w:spacing w:after="140"/>
      </w:pPr>
      <w:r>
        <w:rPr>
          <w:rFonts w:ascii="Calibri" w:hAnsi="Calibri"/>
          <w:b w:val="0"/>
          <w:color w:val="25344A"/>
          <w:sz w:val="21"/>
        </w:rPr>
        <w:t>Begin with the first spoken line, not a logo or welcome sequence. Editorial opening text and a useful cutaway can arrive in the first few seconds. The optional personal-intro window is not a waiting period for visuals or sound. Use the exact anchors below, not guessed playback timestamps.</w:t>
      </w:r>
    </w:p>
    <w:p>
      <w:pPr>
        <w:pStyle w:val="Heading2"/>
        <w:spacing w:after="120"/>
      </w:pPr>
      <w:r>
        <w:rPr>
          <w:rFonts w:ascii="Calibri" w:hAnsi="Calibri"/>
          <w:b w:val="0"/>
          <w:color w:val="25344A"/>
        </w:rPr>
        <w:t>The viewer’s reason to watch</w:t>
      </w:r>
    </w:p>
    <w:p>
      <w:pPr>
        <w:spacing w:after="80"/>
      </w:pPr>
      <w:r>
        <w:rPr>
          <w:rFonts w:ascii="Calibri" w:hAnsi="Calibri"/>
          <w:b w:val="0"/>
          <w:color w:val="25344A"/>
          <w:sz w:val="21"/>
        </w:rPr>
        <w:t>OUTCOME: Explain one contribution later using accurate details that the viewer is permitted to retain or share.</w:t>
      </w:r>
    </w:p>
    <w:p>
      <w:pPr>
        <w:spacing w:after="80"/>
      </w:pPr>
      <w:r>
        <w:rPr>
          <w:rFonts w:ascii="Calibri" w:hAnsi="Calibri"/>
          <w:b w:val="0"/>
          <w:color w:val="25344A"/>
          <w:sz w:val="21"/>
        </w:rPr>
        <w:t>CURIOSITY: What becomes difficult to explain when the login is gone?</w:t>
      </w:r>
    </w:p>
    <w:p>
      <w:pPr>
        <w:spacing w:after="80"/>
      </w:pPr>
      <w:r>
        <w:rPr>
          <w:rFonts w:ascii="Calibri" w:hAnsi="Calibri"/>
          <w:b w:val="0"/>
          <w:color w:val="25344A"/>
          <w:sz w:val="21"/>
        </w:rPr>
        <w:t>WHY THIS METHOD: Capturing baseline, scope, contribution, result and measurement while details are available supports a more specific future explanation.</w:t>
      </w:r>
    </w:p>
    <w:p>
      <w:pPr>
        <w:spacing w:after="140"/>
      </w:pPr>
      <w:r>
        <w:rPr>
          <w:rFonts w:ascii="Calibri" w:hAnsi="Calibri"/>
          <w:b w:val="0"/>
          <w:color w:val="25344A"/>
          <w:sz w:val="21"/>
        </w:rPr>
        <w:t>OBSERVABLE TAKEAWAY: One bounded contribution note exists, and permissions have been checked. A personal rewrite is not automatic permission to keep confidential information.</w:t>
      </w:r>
    </w:p>
    <w:p>
      <w:pPr>
        <w:pStyle w:val="Heading2"/>
        <w:spacing w:after="120"/>
      </w:pPr>
      <w:r>
        <w:rPr>
          <w:rFonts w:ascii="Calibri" w:hAnsi="Calibri"/>
          <w:b w:val="0"/>
          <w:color w:val="25344A"/>
        </w:rPr>
        <w:t>Opening treatment | first spoken beats</w:t>
      </w:r>
    </w:p>
    <w:p>
      <w:pPr>
        <w:keepNext/>
        <w:spacing w:after="60"/>
      </w:pPr>
      <w:r>
        <w:rPr>
          <w:rFonts w:ascii="Calibri" w:hAnsi="Calibri"/>
          <w:b/>
          <w:color w:val="112345"/>
          <w:sz w:val="20"/>
        </w:rPr>
        <w:t>1. CAMERA + BRIEF EDITORIAL TEXT</w:t>
      </w:r>
    </w:p>
    <w:p>
      <w:pPr>
        <w:keepNext/>
        <w:spacing w:after="60"/>
      </w:pPr>
      <w:r>
        <w:rPr>
          <w:rFonts w:ascii="Calibri" w:hAnsi="Calibri"/>
          <w:b w:val="0"/>
          <w:color w:val="25344A"/>
          <w:sz w:val="20"/>
        </w:rPr>
        <w:t>Exact spoken trigger: “Imagine tomorrow morning you try to log into your work account.”</w:t>
      </w:r>
    </w:p>
    <w:p>
      <w:pPr>
        <w:keepNext/>
        <w:spacing w:after="60"/>
      </w:pPr>
      <w:r>
        <w:rPr>
          <w:rFonts w:ascii="Calibri" w:hAnsi="Calibri"/>
          <w:b/>
          <w:color w:val="25344A"/>
          <w:sz w:val="20"/>
        </w:rPr>
        <w:t>Display copy: CAN YOU STILL EXPLAIN YOUR WORK?</w:t>
      </w:r>
    </w:p>
    <w:p>
      <w:pPr>
        <w:spacing w:after="140"/>
      </w:pPr>
      <w:r>
        <w:rPr>
          <w:rFonts w:ascii="Calibri" w:hAnsi="Calibri"/>
          <w:b w:val="0"/>
          <w:color w:val="25344A"/>
          <w:sz w:val="20"/>
        </w:rPr>
        <w:t>Start with her speaking, then move straight into the imagined login. No lengthy camera-only scene.</w:t>
      </w:r>
    </w:p>
    <w:p>
      <w:pPr>
        <w:keepNext/>
        <w:spacing w:after="60"/>
      </w:pPr>
      <w:r>
        <w:rPr>
          <w:rFonts w:ascii="Calibri" w:hAnsi="Calibri"/>
          <w:b/>
          <w:color w:val="112345"/>
          <w:sz w:val="20"/>
        </w:rPr>
        <w:t>2. TRUE FULL-SCREEN ILLUSTRATIVE LOGIN  |  S1: brief sound stinger</w:t>
      </w:r>
    </w:p>
    <w:p>
      <w:pPr>
        <w:keepNext/>
        <w:spacing w:after="60"/>
      </w:pPr>
      <w:r>
        <w:rPr>
          <w:rFonts w:ascii="Calibri" w:hAnsi="Calibri"/>
          <w:b w:val="0"/>
          <w:color w:val="25344A"/>
          <w:sz w:val="20"/>
        </w:rPr>
        <w:t>Exact spoken trigger: “You cannot.”</w:t>
      </w:r>
    </w:p>
    <w:p>
      <w:pPr>
        <w:keepNext/>
        <w:spacing w:after="60"/>
      </w:pPr>
      <w:r>
        <w:rPr>
          <w:rFonts w:ascii="Calibri" w:hAnsi="Calibri"/>
          <w:b/>
          <w:color w:val="25344A"/>
          <w:sz w:val="20"/>
        </w:rPr>
        <w:t>Display copy: ACCESS UNAVAILABLE</w:t>
      </w:r>
    </w:p>
    <w:p>
      <w:pPr>
        <w:spacing w:after="140"/>
      </w:pPr>
      <w:r>
        <w:rPr>
          <w:rFonts w:ascii="Calibri" w:hAnsi="Calibri"/>
          <w:b w:val="0"/>
          <w:color w:val="25344A"/>
          <w:sz w:val="20"/>
        </w:rPr>
        <w:t>A generic, clearly illustrative login card replaces the camera at this line. One muted lock/click sound. No real employer interface, file, logo or customer data.</w:t>
      </w:r>
    </w:p>
    <w:p>
      <w:pPr>
        <w:keepNext/>
        <w:spacing w:after="60"/>
      </w:pPr>
      <w:r>
        <w:rPr>
          <w:rFonts w:ascii="Calibri" w:hAnsi="Calibri"/>
          <w:b/>
          <w:color w:val="112345"/>
          <w:sz w:val="20"/>
        </w:rPr>
        <w:t>3. RETURN TO CAMERA, THEN BRIEF QUESTION CARD</w:t>
      </w:r>
    </w:p>
    <w:p>
      <w:pPr>
        <w:keepNext/>
        <w:spacing w:after="60"/>
      </w:pPr>
      <w:r>
        <w:rPr>
          <w:rFonts w:ascii="Calibri" w:hAnsi="Calibri"/>
          <w:b w:val="0"/>
          <w:color w:val="25344A"/>
          <w:sz w:val="20"/>
        </w:rPr>
        <w:t>Exact spoken trigger: “What exactly changed because of your work?”</w:t>
      </w:r>
    </w:p>
    <w:p>
      <w:pPr>
        <w:keepNext/>
        <w:spacing w:after="60"/>
      </w:pPr>
      <w:r>
        <w:rPr>
          <w:rFonts w:ascii="Calibri" w:hAnsi="Calibri"/>
          <w:b/>
          <w:color w:val="25344A"/>
          <w:sz w:val="20"/>
        </w:rPr>
        <w:t>Display copy: WHAT CHANGED BECAUSE OF YOUR WORK?</w:t>
      </w:r>
    </w:p>
    <w:p>
      <w:pPr>
        <w:spacing w:after="140"/>
      </w:pPr>
      <w:r>
        <w:rPr>
          <w:rFonts w:ascii="Calibri" w:hAnsi="Calibri"/>
          <w:b w:val="0"/>
          <w:color w:val="25344A"/>
          <w:sz w:val="20"/>
        </w:rPr>
        <w:t>The interviewer’s question is the early outcome cue. Do not replace it with a fear montage; let the following baseline/decision questions establish the difficulty.</w:t>
      </w:r>
    </w:p>
    <w:p>
      <w:pPr>
        <w:spacing w:after="0"/>
      </w:pPr>
      <w:r>
        <w:rPr>
          <w:rFonts w:ascii="Calibri" w:hAnsi="Calibri"/>
          <w:b w:val="0"/>
          <w:color w:val="4D5A6C"/>
          <w:sz w:val="18"/>
        </w:rPr>
        <w:t>Display copy is editorial text, not a changed transcript. The underlying voice continues through cutaways. Hold for comprehension, then return to her interpretation. No repetitive word-by-word long-form captions.</w:t>
      </w:r>
    </w:p>
    <w:p>
      <w:r>
        <w:br w:type="page"/>
      </w:r>
    </w:p>
    <w:p>
      <w:pPr>
        <w:spacing w:after="140"/>
      </w:pPr>
      <w:r>
        <w:rPr>
          <w:rFonts w:ascii="Calibri" w:hAnsi="Calibri"/>
          <w:b/>
          <w:color w:val="112345"/>
          <w:sz w:val="36"/>
        </w:rPr>
        <w:t>Make the teaching usable</w:t>
      </w:r>
    </w:p>
    <w:p>
      <w:pPr>
        <w:spacing w:after="160"/>
      </w:pPr>
      <w:r>
        <w:rPr>
          <w:rFonts w:ascii="Calibri" w:hAnsi="Calibri"/>
          <w:b w:val="0"/>
          <w:color w:val="25344A"/>
          <w:sz w:val="21"/>
        </w:rPr>
        <w:t>Keep the activities. Show why the viewer would do them and the specific answer, note, or conversation they leave with. Do not replace practical teaching with bigger promises.</w:t>
      </w:r>
    </w:p>
    <w:p>
      <w:pPr>
        <w:pStyle w:val="Heading2"/>
        <w:spacing w:after="60"/>
      </w:pPr>
      <w:r>
        <w:rPr>
          <w:rFonts w:ascii="Calibri" w:hAnsi="Calibri"/>
          <w:b/>
          <w:color w:val="112345"/>
          <w:sz w:val="21"/>
        </w:rPr>
        <w:t>1. FIVE THINGS THAT CAN DISAPPEAR  |  S2</w:t>
      </w:r>
    </w:p>
    <w:p>
      <w:pPr>
        <w:keepNext/>
        <w:spacing w:after="80"/>
      </w:pPr>
      <w:r>
        <w:rPr>
          <w:rFonts w:ascii="Calibri" w:hAnsi="Calibri"/>
          <w:b w:val="0"/>
          <w:color w:val="25344A"/>
          <w:sz w:val="21"/>
        </w:rPr>
        <w:t>Exact spoken trigger: “you can lose five useful details.”</w:t>
      </w:r>
    </w:p>
    <w:p>
      <w:pPr>
        <w:keepNext/>
        <w:spacing w:after="80"/>
      </w:pPr>
      <w:r>
        <w:rPr>
          <w:rFonts w:ascii="Calibri" w:hAnsi="Calibri"/>
          <w:b/>
          <w:color w:val="25344A"/>
          <w:sz w:val="20"/>
        </w:rPr>
        <w:t>TRUE FULL-SCREEN NOTE  |  BASELINE / SCOPE / DECISION / RESULT / METHOD</w:t>
      </w:r>
    </w:p>
    <w:p>
      <w:pPr>
        <w:spacing w:after="160"/>
      </w:pPr>
      <w:r>
        <w:rPr>
          <w:rFonts w:ascii="Calibri" w:hAnsi="Calibri"/>
          <w:b w:val="0"/>
          <w:color w:val="25344A"/>
          <w:sz w:val="21"/>
        </w:rPr>
        <w:t>Show a personal note form, one active field at a time. One soft click on the first field.</w:t>
      </w:r>
    </w:p>
    <w:p>
      <w:pPr>
        <w:pStyle w:val="Heading2"/>
        <w:spacing w:after="60"/>
      </w:pPr>
      <w:r>
        <w:rPr>
          <w:rFonts w:ascii="Calibri" w:hAnsi="Calibri"/>
          <w:b/>
          <w:color w:val="112345"/>
          <w:sz w:val="21"/>
        </w:rPr>
        <w:t>2. THE IMPORTANT BOUNDARY  |  S3</w:t>
      </w:r>
    </w:p>
    <w:p>
      <w:pPr>
        <w:keepNext/>
        <w:spacing w:after="80"/>
      </w:pPr>
      <w:r>
        <w:rPr>
          <w:rFonts w:ascii="Calibri" w:hAnsi="Calibri"/>
          <w:b w:val="0"/>
          <w:color w:val="25344A"/>
          <w:sz w:val="21"/>
        </w:rPr>
        <w:t>Exact spoken trigger: “Keeping proof does not mean taking company property.”</w:t>
      </w:r>
    </w:p>
    <w:p>
      <w:pPr>
        <w:keepNext/>
        <w:spacing w:after="80"/>
      </w:pPr>
      <w:r>
        <w:rPr>
          <w:rFonts w:ascii="Calibri" w:hAnsi="Calibri"/>
          <w:b/>
          <w:color w:val="25344A"/>
          <w:sz w:val="20"/>
        </w:rPr>
        <w:t>CAMERA, THEN TRUE FULL-SCREEN BOUNDARY  |  KEEP THE PROOF. NOT THE PROPERTY.</w:t>
      </w:r>
    </w:p>
    <w:p>
      <w:pPr>
        <w:spacing w:after="160"/>
      </w:pPr>
      <w:r>
        <w:rPr>
          <w:rFonts w:ascii="Calibri" w:hAnsi="Calibri"/>
          <w:b w:val="0"/>
          <w:color w:val="25344A"/>
          <w:sz w:val="21"/>
        </w:rPr>
        <w:t>Make the permission boundary as visible as the convenience of the exercise. No download, forwarding or screenshot-saving animations.</w:t>
      </w:r>
    </w:p>
    <w:p>
      <w:pPr>
        <w:pStyle w:val="Heading2"/>
        <w:spacing w:after="60"/>
      </w:pPr>
      <w:r>
        <w:rPr>
          <w:rFonts w:ascii="Calibri" w:hAnsi="Calibri"/>
          <w:b/>
          <w:color w:val="112345"/>
          <w:sz w:val="21"/>
        </w:rPr>
        <w:t>3. WHAT TO WRITE DOWN  |  S4</w:t>
      </w:r>
    </w:p>
    <w:p>
      <w:pPr>
        <w:keepNext/>
        <w:spacing w:after="80"/>
      </w:pPr>
      <w:r>
        <w:rPr>
          <w:rFonts w:ascii="Calibri" w:hAnsi="Calibri"/>
          <w:b w:val="0"/>
          <w:color w:val="25344A"/>
          <w:sz w:val="21"/>
        </w:rPr>
        <w:t>Exact spoken trigger: “Owned the decision on Y, but budget approval stayed with Z.”</w:t>
      </w:r>
    </w:p>
    <w:p>
      <w:pPr>
        <w:keepNext/>
        <w:spacing w:after="80"/>
      </w:pPr>
      <w:r>
        <w:rPr>
          <w:rFonts w:ascii="Calibri" w:hAnsi="Calibri"/>
          <w:b/>
          <w:color w:val="25344A"/>
          <w:sz w:val="20"/>
        </w:rPr>
        <w:t>TRUE FULL-SCREEN EXAMPLE NOTE  |  MY DECISION: Y / BUDGET APPROVAL: Z</w:t>
      </w:r>
    </w:p>
    <w:p>
      <w:pPr>
        <w:spacing w:after="160"/>
      </w:pPr>
      <w:r>
        <w:rPr>
          <w:rFonts w:ascii="Calibri" w:hAnsi="Calibri"/>
          <w:b w:val="0"/>
          <w:color w:val="25344A"/>
          <w:sz w:val="21"/>
        </w:rPr>
        <w:t>Use X/Y/Z as in the source. Show the boundary on the same card as the contribution; do not turn a rollout into sole decision authority.</w:t>
      </w:r>
    </w:p>
    <w:p>
      <w:pPr>
        <w:pStyle w:val="Heading2"/>
        <w:spacing w:after="60"/>
      </w:pPr>
      <w:r>
        <w:rPr>
          <w:rFonts w:ascii="Calibri" w:hAnsi="Calibri"/>
          <w:b/>
          <w:color w:val="112345"/>
          <w:sz w:val="21"/>
        </w:rPr>
        <w:t>4. STORY LOOP PAYOFF  |  S5</w:t>
      </w:r>
    </w:p>
    <w:p>
      <w:pPr>
        <w:keepNext/>
        <w:spacing w:after="80"/>
      </w:pPr>
      <w:r>
        <w:rPr>
          <w:rFonts w:ascii="Calibri" w:hAnsi="Calibri"/>
          <w:b w:val="0"/>
          <w:color w:val="25344A"/>
          <w:sz w:val="21"/>
        </w:rPr>
        <w:t>Exact spoken trigger: “That brings us back to the login screen.”</w:t>
      </w:r>
    </w:p>
    <w:p>
      <w:pPr>
        <w:keepNext/>
        <w:spacing w:after="80"/>
      </w:pPr>
      <w:r>
        <w:rPr>
          <w:rFonts w:ascii="Calibri" w:hAnsi="Calibri"/>
          <w:b/>
          <w:color w:val="25344A"/>
          <w:sz w:val="20"/>
        </w:rPr>
        <w:t>TRUE FULL-SCREEN CALLBACK, THEN CAMERA  |  ACCESS MAY END. KEEP AN ACCURATE, PERMITTED RECORD.</w:t>
      </w:r>
    </w:p>
    <w:p>
      <w:pPr>
        <w:spacing w:after="160"/>
      </w:pPr>
      <w:r>
        <w:rPr>
          <w:rFonts w:ascii="Calibri" w:hAnsi="Calibri"/>
          <w:b w:val="0"/>
          <w:color w:val="25344A"/>
          <w:sz w:val="21"/>
        </w:rPr>
        <w:t>Return to the same illustrative login beside the contribution note. Avoid claiming records eliminate bias or hiring requirements.</w:t>
      </w:r>
    </w:p>
    <w:p>
      <w:pPr>
        <w:pStyle w:val="Heading2"/>
        <w:spacing w:after="120"/>
      </w:pPr>
      <w:r>
        <w:rPr>
          <w:rFonts w:ascii="Calibri" w:hAnsi="Calibri"/>
          <w:b w:val="0"/>
          <w:color w:val="25344A"/>
        </w:rPr>
        <w:t>Meaningful B-roll / artifact options</w:t>
      </w:r>
    </w:p>
    <w:p>
      <w:pPr>
        <w:spacing w:after="120"/>
      </w:pPr>
      <w:r>
        <w:rPr>
          <w:rFonts w:ascii="Calibri" w:hAnsi="Calibri"/>
          <w:b w:val="0"/>
          <w:color w:val="25344A"/>
          <w:sz w:val="21"/>
        </w:rPr>
        <w:t>Two relevant options: the generic blocked login; a personal contribution note being completed. Both are illustrations, not real employer evidence.</w:t>
      </w:r>
    </w:p>
    <w:p>
      <w:pPr>
        <w:spacing w:after="0"/>
      </w:pPr>
      <w:r>
        <w:rPr>
          <w:rFonts w:ascii="Calibri" w:hAnsi="Calibri"/>
          <w:b w:val="0"/>
          <w:color w:val="4D5A6C"/>
          <w:sz w:val="18"/>
        </w:rPr>
        <w:t>Show examples as examples. Do not fabricate personal outcomes, employer records, screenshots, research results, or evidence. New visuals are proposed instructions here, not delivered slide files.</w:t>
      </w:r>
    </w:p>
    <w:p>
      <w:r>
        <w:br w:type="page"/>
      </w:r>
    </w:p>
    <w:p>
      <w:pPr>
        <w:spacing w:after="140"/>
      </w:pPr>
      <w:r>
        <w:rPr>
          <w:rFonts w:ascii="Calibri" w:hAnsi="Calibri"/>
          <w:b/>
          <w:color w:val="112345"/>
          <w:sz w:val="36"/>
        </w:rPr>
        <w:t>Sound, delivery and handoff</w:t>
      </w:r>
    </w:p>
    <w:p>
      <w:pPr>
        <w:pStyle w:val="Heading2"/>
        <w:spacing w:after="120"/>
      </w:pPr>
      <w:r>
        <w:rPr>
          <w:rFonts w:ascii="Calibri" w:hAnsi="Calibri"/>
          <w:b w:val="0"/>
          <w:color w:val="25344A"/>
        </w:rPr>
        <w:t>Sound plan</w:t>
      </w:r>
    </w:p>
    <w:p>
      <w:pPr>
        <w:spacing w:after="120"/>
      </w:pPr>
      <w:r>
        <w:rPr>
          <w:rFonts w:ascii="Calibri" w:hAnsi="Calibri"/>
          <w:b w:val="0"/>
          <w:color w:val="25344A"/>
          <w:sz w:val="21"/>
        </w:rPr>
        <w:t>Five planned accents, S1–S5, are marked on exact source passages. S1 occurs in the opening. A stinger means a brief sound cue: a quiet click, soft tap, paper movement, or restrained tonal accent. Text or a cutaway is a separate visual choice.</w:t>
      </w:r>
    </w:p>
    <w:p>
      <w:pPr>
        <w:spacing w:after="140"/>
      </w:pPr>
      <w:r>
        <w:rPr>
          <w:rFonts w:ascii="Calibri" w:hAnsi="Calibri"/>
          <w:b w:val="0"/>
          <w:color w:val="25344A"/>
          <w:sz w:val="21"/>
        </w:rPr>
        <w:t>Audition each cue under the actual voice. Keep speech clear; no alarms, loud whooshes, compulsory background music or sound on every bullet. Do not add a second effect when an existing cue already does the job. Five is an editorial plan, not a measured export count or retention guarantee.</w:t>
      </w:r>
    </w:p>
    <w:p>
      <w:pPr>
        <w:pStyle w:val="Heading2"/>
        <w:spacing w:after="120"/>
      </w:pPr>
      <w:r>
        <w:rPr>
          <w:rFonts w:ascii="Calibri" w:hAnsi="Calibri"/>
          <w:b w:val="0"/>
          <w:color w:val="25344A"/>
        </w:rPr>
        <w:t>Camera emphasis | four proposed beats</w:t>
      </w:r>
    </w:p>
    <w:p>
      <w:pPr>
        <w:spacing w:after="60"/>
      </w:pPr>
      <w:r>
        <w:rPr>
          <w:rFonts w:ascii="Calibri" w:hAnsi="Calibri"/>
          <w:b w:val="0"/>
          <w:color w:val="25344A"/>
          <w:sz w:val="21"/>
        </w:rPr>
        <w:t>• Base for the imagined interviewer’s question.</w:t>
      </w:r>
    </w:p>
    <w:p>
      <w:pPr>
        <w:spacing w:after="60"/>
      </w:pPr>
      <w:r>
        <w:rPr>
          <w:rFonts w:ascii="Calibri" w:hAnsi="Calibri"/>
          <w:b w:val="0"/>
          <w:color w:val="25344A"/>
          <w:sz w:val="21"/>
        </w:rPr>
        <w:t>• Gentle push-in for the property boundary.</w:t>
      </w:r>
    </w:p>
    <w:p>
      <w:pPr>
        <w:spacing w:after="60"/>
      </w:pPr>
      <w:r>
        <w:rPr>
          <w:rFonts w:ascii="Calibri" w:hAnsi="Calibri"/>
          <w:b w:val="0"/>
          <w:color w:val="25344A"/>
          <w:sz w:val="21"/>
        </w:rPr>
        <w:t>• Return to base for the hiring limitations.</w:t>
      </w:r>
    </w:p>
    <w:p>
      <w:pPr>
        <w:spacing w:after="60"/>
      </w:pPr>
      <w:r>
        <w:rPr>
          <w:rFonts w:ascii="Calibri" w:hAnsi="Calibri"/>
          <w:b w:val="0"/>
          <w:color w:val="25344A"/>
          <w:sz w:val="21"/>
        </w:rPr>
        <w:t>• Final emphasis on “Keep the proof. Not the property.”</w:t>
      </w:r>
    </w:p>
    <w:p>
      <w:pPr>
        <w:spacing w:after="140"/>
      </w:pPr>
      <w:r>
        <w:rPr>
          <w:rFonts w:ascii="Calibri" w:hAnsi="Calibri"/>
          <w:b w:val="0"/>
          <w:color w:val="25344A"/>
          <w:sz w:val="21"/>
        </w:rPr>
        <w:t>Use gentle push-ins or a return to the base frame. Keep natural pauses. Do not make every thought-block boundary a visible hard cut. Do not remove sentences to manufacture pace.</w:t>
      </w:r>
    </w:p>
    <w:p>
      <w:pPr>
        <w:pStyle w:val="Heading2"/>
        <w:spacing w:after="120"/>
      </w:pPr>
      <w:r>
        <w:rPr>
          <w:rFonts w:ascii="Calibri" w:hAnsi="Calibri"/>
          <w:b w:val="0"/>
          <w:color w:val="25344A"/>
        </w:rPr>
        <w:t>Public boundary to preserve</w:t>
      </w:r>
    </w:p>
    <w:p>
      <w:pPr>
        <w:spacing w:after="140"/>
      </w:pPr>
      <w:r>
        <w:rPr>
          <w:rFonts w:ascii="Calibri" w:hAnsi="Calibri"/>
          <w:b w:val="0"/>
          <w:color w:val="25344A"/>
          <w:sz w:val="21"/>
        </w:rPr>
        <w:t>No confidential files, customer data, code, screenshots or internal financial information. Keep permitted wording and evidence limits. A process or decision may be useful proof without a shareable metric. Source population/frequency wording is retained, not newly verified by this edit pass.</w:t>
      </w:r>
    </w:p>
    <w:p>
      <w:pPr>
        <w:pStyle w:val="Heading2"/>
        <w:spacing w:after="120"/>
      </w:pPr>
      <w:r>
        <w:rPr>
          <w:rFonts w:ascii="Calibri" w:hAnsi="Calibri"/>
          <w:b w:val="0"/>
          <w:color w:val="25344A"/>
        </w:rPr>
        <w:t>Final sequence and one primary ask</w:t>
      </w:r>
    </w:p>
    <w:p>
      <w:pPr>
        <w:spacing w:after="100"/>
      </w:pPr>
      <w:r>
        <w:rPr>
          <w:rFonts w:ascii="Calibri" w:hAnsi="Calibri"/>
          <w:b w:val="0"/>
          <w:color w:val="25344A"/>
          <w:sz w:val="21"/>
        </w:rPr>
        <w:t>Keep the source TAKEAWAY VALUE, STORY LOOP PAYOFF, CLOSE and CONFIDENCE / VIEWER OUTCOME in order. They already carry the useful outcome; do not add another outcome speech or repeated ending.</w:t>
      </w:r>
    </w:p>
    <w:p>
      <w:pPr>
        <w:spacing w:after="100"/>
      </w:pPr>
      <w:r>
        <w:rPr>
          <w:rFonts w:ascii="Calibri" w:hAnsi="Calibri"/>
          <w:b w:val="0"/>
          <w:color w:val="25344A"/>
          <w:sz w:val="21"/>
        </w:rPr>
        <w:t>Exact Watch Next: “And if you want to know what to capture before a layoff or sudden exit takes that access away, watch “Before a Layoff, Know What You Can Still Prove” next.”</w:t>
      </w:r>
    </w:p>
    <w:p>
      <w:pPr>
        <w:spacing w:after="120"/>
      </w:pPr>
      <w:r>
        <w:rPr>
          <w:rFonts w:ascii="Calibri" w:hAnsi="Calibri"/>
          <w:b w:val="0"/>
          <w:color w:val="25344A"/>
          <w:sz w:val="21"/>
        </w:rPr>
        <w:t>Switch to TRUE FULL-SCREEN for Watch Next from the start of that passage. The final Watch Next graphic is the last frame. Never return to camera. Verify the destination’s live status before upload; do not invent a link or silently substitute the spoken destination.</w:t>
      </w:r>
    </w:p>
    <w:p>
      <w:pPr>
        <w:spacing w:after="120"/>
      </w:pPr>
      <w:r>
        <w:rPr>
          <w:rFonts w:ascii="Calibri" w:hAnsi="Calibri"/>
          <w:b w:val="0"/>
          <w:color w:val="25344A"/>
          <w:sz w:val="20"/>
        </w:rPr>
        <w:t>Keep the Proof; one description-only resource. Keep the approved URL and permission boundaries from the current publishing layer.</w:t>
      </w:r>
    </w:p>
    <w:p>
      <w:pPr>
        <w:pStyle w:val="Heading2"/>
        <w:spacing w:after="120"/>
      </w:pPr>
      <w:r>
        <w:rPr>
          <w:rFonts w:ascii="Calibri" w:hAnsi="Calibri"/>
          <w:b w:val="0"/>
          <w:color w:val="25344A"/>
        </w:rPr>
        <w:t>Production guardrails</w:t>
      </w:r>
    </w:p>
    <w:p>
      <w:pPr>
        <w:spacing w:after="120"/>
      </w:pPr>
      <w:r>
        <w:rPr>
          <w:rFonts w:ascii="Calibri" w:hAnsi="Calibri"/>
          <w:b w:val="0"/>
          <w:color w:val="25344A"/>
          <w:sz w:val="20"/>
        </w:rPr>
        <w:t>16:9; 1920 × 1080 minimum. Palette: navy #112345, cream #F5F1E8, muted gold #C9A84C, warm yellow #F2C44C. Short editorial hook text is allowed over camera. Substantive teaching, comparisons and B-roll are true full-screen. No burned-in long-form transcript captions; final SRT and chapters follow the actual edit. One brief, quiet Subscribe cue after value, not another spoken ask.</w:t>
      </w:r>
    </w:p>
    <w:p>
      <w:pPr>
        <w:spacing w:after="120"/>
      </w:pPr>
      <w:r>
        <w:rPr>
          <w:rFonts w:ascii="Calibri" w:hAnsi="Calibri"/>
          <w:b w:val="0"/>
          <w:color w:val="25344A"/>
          <w:sz w:val="20"/>
        </w:rPr>
        <w:t>Keep the existing three-candidate Shorts bank; this handoff does not create new Shorts. Audit any extract against the current source before reuse. Re-anchor only changed source triggers and update only affected graphics, metadata, cue maps and dependent documents. Historical packages stay untouched.</w:t>
      </w:r>
    </w:p>
    <w:p>
      <w:pPr>
        <w:spacing w:after="0"/>
      </w:pPr>
      <w:r>
        <w:rPr>
          <w:rFonts w:ascii="Calibri" w:hAnsi="Calibri"/>
          <w:b w:val="0"/>
          <w:color w:val="4D5A6C"/>
          <w:sz w:val="17"/>
        </w:rPr>
        <w:t>Source: latest September 16 BEAST MODE master, the curiosity/outcome companion brief, and Temidayo’s current early-edit clarification. All quoted trigger excerpts occur in the current script. Instructions are proposed editing choices, not a certification of rendered assets or the finished video.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64" w:left="1037" w:header="317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4D5A6C"/>
        <w:sz w:val="16"/>
      </w:rPr>
      <w:t xml:space="preserve">V8  •  Early-curiosity editing brief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/>
        <w:b/>
        <w:color w:val="4D5A6C"/>
        <w:sz w:val="16"/>
      </w:rPr>
      <w:t>CAPABILITY FORMATION   |   NEW PUBLIC V8   |   EARLY-CURIOSITY EDITING BRIEF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59" w:lineRule="auto" w:after="140"/>
    </w:pPr>
    <w:rPr>
      <w:rFonts w:ascii="Calibri" w:hAnsi="Calibri"/>
      <w:color w:val="25344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112345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112345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12345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V8 | Early-curiosity editing brief | What Disappears When Your Work Access Ends</dc:title>
  <dc:subject>September 16, 2026 source-controlled recording and early-edit handoff</dc:subject>
  <dc:creator>Temidayo Afonja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