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12345"/>
          <w:sz w:val="18"/>
        </w:rPr>
        <w:t>NEW PUBLIC V9  |  FORMER ROADMAP V27</w:t>
      </w:r>
    </w:p>
    <w:p>
      <w:pPr>
        <w:spacing w:after="140"/>
      </w:pPr>
      <w:r>
        <w:rPr>
          <w:rFonts w:ascii="Calibri" w:hAnsi="Calibri"/>
          <w:b/>
          <w:color w:val="112345"/>
          <w:sz w:val="38"/>
        </w:rPr>
        <w:t>Transferable Skills Advice Is Missing Something</w:t>
      </w:r>
    </w:p>
    <w:p>
      <w:pPr>
        <w:spacing w:after="120"/>
      </w:pPr>
      <w:r>
        <w:rPr>
          <w:rFonts w:ascii="Calibri" w:hAnsi="Calibri"/>
          <w:b/>
          <w:color w:val="112345"/>
          <w:sz w:val="21"/>
        </w:rPr>
        <w:t>THUMBNAIL: NOT EVERYTHING TRAVELS</w:t>
      </w:r>
    </w:p>
    <w:p>
      <w:pPr>
        <w:spacing w:after="60"/>
      </w:pPr>
      <w:r>
        <w:rPr>
          <w:rFonts w:ascii="Calibri" w:hAnsi="Calibri"/>
          <w:b/>
          <w:color w:val="4D5A6C"/>
          <w:sz w:val="20"/>
        </w:rPr>
        <w:t>EDITOR ONLY | Long-form curiosity, sound, cutaways and outcomes</w:t>
      </w:r>
    </w:p>
    <w:p>
      <w:pPr>
        <w:spacing w:after="160"/>
      </w:pPr>
      <w:r>
        <w:rPr>
          <w:rFonts w:ascii="Calibri" w:hAnsi="Calibri"/>
          <w:b w:val="0"/>
          <w:color w:val="4D5A6C"/>
          <w:sz w:val="16"/>
        </w:rPr>
        <w:t>Created Wednesday, September 16, 2026 | 10:06 AM CT (CDT, UTC-05:00)</w:t>
      </w:r>
    </w:p>
    <w:p>
      <w:pPr>
        <w:spacing w:after="140"/>
        <w:shd w:fill="F5F1E8"/>
      </w:pPr>
      <w:r>
        <w:rPr>
          <w:rFonts w:ascii="Calibri" w:hAnsi="Calibri"/>
          <w:b/>
          <w:color w:val="112345"/>
          <w:sz w:val="22"/>
        </w:rPr>
        <w:t>CAMERA-LED DOES NOT MEAN CAMERA-ONLY AT THE START.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Begin with the first spoken line, not a logo or welcome sequence. Editorial opening text and a useful cutaway can arrive in the first few seconds. The optional personal-intro window is not a waiting period for visuals or sound. Use the exact anchors below, not guessed playback timestamps.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The viewer’s reason to watch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OUTCOME: Explain what the next role can use from the viewer’s experience, what supports that claim, and what still needs to be built.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CURIOSITY: Which part of the move becomes clearer when you name what does not travel?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WHY THIS METHOD: Sorting evidence and context-bound knowledge avoids the false choice between starting over and claiming everything transfers.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OBSERVABLE TAKEAWAY: The viewer can make a specific, bounded transfer statement with one proof example and one real learning need.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Opening treatment | first spoken beats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1. CAMERA + BRIEF EDITORIAL TEXT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“some transferable-skills advice gives experienced professionals false confidence.”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NOT EVERYTHING TRAVELS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Show the locked question/tension during the first sentence. Keep “some” in the spoken claim. Do not invent a study or universal indictment.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2. TRUE FULL-SCREEN QUESTION CONTRAST  |  S1: brief sound stinger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“What can I take with me?”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WHAT COMES WITH ME? / WHAT STAYS BEHIND?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Cut early to two simple questions while the source asks them. One quiet paper-switch click. No airplane or holiday imagery.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3. TRUE FULL-SCREEN COMPARISON, THEN CAMERA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“Your judgment may travel.”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JUDGMENT: MAY TRAVEL / RELATIONSHIPS: MAY NOT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Reveal each side with the next sentence. Keep “may” visible. Return to camera before the regulation and credential boundary.</w:t>
      </w:r>
    </w:p>
    <w:p>
      <w:pPr>
        <w:spacing w:after="0"/>
      </w:pPr>
      <w:r>
        <w:rPr>
          <w:rFonts w:ascii="Calibri" w:hAnsi="Calibri"/>
          <w:b w:val="0"/>
          <w:color w:val="4D5A6C"/>
          <w:sz w:val="18"/>
        </w:rPr>
        <w:t>Display copy is editorial text, not a changed transcript. The underlying voice continues through cutaways. Hold for comprehension, then return to her interpretation. No repetitive word-by-word long-form captions.</w:t>
      </w:r>
    </w:p>
    <w:p>
      <w:r>
        <w:br w:type="page"/>
      </w:r>
    </w:p>
    <w:p>
      <w:pPr>
        <w:spacing w:after="140"/>
      </w:pPr>
      <w:r>
        <w:rPr>
          <w:rFonts w:ascii="Calibri" w:hAnsi="Calibri"/>
          <w:b/>
          <w:color w:val="112345"/>
          <w:sz w:val="36"/>
        </w:rPr>
        <w:t>Make the teaching usable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Keep the activities. Show why the viewer would do them and the specific answer, note, or conversation they leave with. Do not replace practical teaching with bigger promises.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1. THE FOUR QUESTIONS  |  S2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“I use four questions instead:”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TEACHING  |  WHAT TRAVELS? / WHAT DOES NOT? / WHAT CAN I PROVE? / WHAT MUST I RELEARN?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Show one active question as spoken; do not label every gap a failure. One accent at RELEARN.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2. THINK OF IT LIKE SORTING  |  S3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“I picture sorting.”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SORTING ILLUSTRATION  |  AS IT IS / NEEDS TRANSLATION / CONTEXT-BOUND / NEEDS LEARNING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Use experience-note cards, not travel footage. Match categories to the following four source statements.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3. HOW TO TALK ABOUT THE GAP  |  S4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“The part of my experience that is most useful here is X.”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CONVERSATION  |  USEFUL EXPERIENCE: X / USED TO SOLVE: Y / NEED TO BUILD: Z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Show the full three-sentence source statement in three readable states. This is the outcome the four-column activity prepares the viewer to express.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4. STORY LOOP PAYOFF  |  S5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“What exactly am I carrying”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CAMERA + WORKING-PAGE CALLBACK  |  WHAT DOES THIS CONTEXT STILL REQUIRE?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Return to the opening distinction with the completed reading structure. The gap is information for a decision, not a red X on the person.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Meaningful B-roll / artifact options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Optional useful inserts: a personal experience card being sorted; a destination-role comparison being completed. No global flight montage or invented employer case.</w:t>
      </w:r>
    </w:p>
    <w:p>
      <w:pPr>
        <w:spacing w:after="0"/>
      </w:pPr>
      <w:r>
        <w:rPr>
          <w:rFonts w:ascii="Calibri" w:hAnsi="Calibri"/>
          <w:b w:val="0"/>
          <w:color w:val="4D5A6C"/>
          <w:sz w:val="18"/>
        </w:rPr>
        <w:t>Show examples as examples. Do not fabricate personal outcomes, employer records, screenshots, research results, or evidence. New visuals are proposed instructions here, not delivered slide files.</w:t>
      </w:r>
    </w:p>
    <w:p>
      <w:r>
        <w:br w:type="page"/>
      </w:r>
    </w:p>
    <w:p>
      <w:pPr>
        <w:spacing w:after="140"/>
      </w:pPr>
      <w:r>
        <w:rPr>
          <w:rFonts w:ascii="Calibri" w:hAnsi="Calibri"/>
          <w:b/>
          <w:color w:val="112345"/>
          <w:sz w:val="36"/>
        </w:rPr>
        <w:t>Sound, delivery and handoff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Sound plan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Five planned accents, S1–S5, are marked on exact source passages. S1 occurs in the opening. A stinger means a brief sound cue: a quiet click, soft tap, paper movement, or restrained tonal accent. Text or a cutaway is a separate visual choice.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Audition each cue under the actual voice. Keep speech clear; no alarms, loud whooshes, compulsory background music or sound on every bullet. Do not add a second effect when an existing cue already does the job. Five is an editorial plan, not a measured export count or retention guarantee.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Camera emphasis | four proposed beats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Base for “Some of it absolutely can.”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Gentle emphasis on shown versus claimed.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Return to base for the real limits.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Final emphasis on the more accurate middle between zero and everything.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Use gentle push-ins or a return to the base frame. Keep natural pauses. Do not make every thought-block boundary a visible hard cut. Do not remove sentences to manufacture pace.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Public boundary to preserve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Preserve genuine regulation, credentials, direct experience, employer preferences, pay, bias and market constraints. Not everything transfers. Do not make leadership or judgment automatically useful in every new context.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Final sequence and one primary ask</w:t>
      </w:r>
    </w:p>
    <w:p>
      <w:pPr>
        <w:spacing w:after="100"/>
      </w:pPr>
      <w:r>
        <w:rPr>
          <w:rFonts w:ascii="Calibri" w:hAnsi="Calibri"/>
          <w:b w:val="0"/>
          <w:color w:val="25344A"/>
          <w:sz w:val="21"/>
        </w:rPr>
        <w:t>Keep the source TAKEAWAY VALUE, STORY LOOP PAYOFF, CLOSE and CONFIDENCE / VIEWER OUTCOME in order. They already carry the useful outcome; do not add another outcome speech or repeated ending.</w:t>
      </w:r>
    </w:p>
    <w:p>
      <w:pPr>
        <w:spacing w:after="100"/>
      </w:pPr>
      <w:r>
        <w:rPr>
          <w:rFonts w:ascii="Calibri" w:hAnsi="Calibri"/>
          <w:b w:val="0"/>
          <w:color w:val="25344A"/>
          <w:sz w:val="21"/>
        </w:rPr>
        <w:t>Exact Watch Next: “And if you are trying to move into a different industry, watch “Which Parts of Your Experience Actually Transfer to Another Industry?” next.”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Switch to TRUE FULL-SCREEN for Watch Next from the start of that passage. The final Watch Next graphic is the last frame. Never return to camera. Verify the destination’s live status before upload; do not invent a link or silently substitute the spoken destination.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Career Decision Evidence Check; one description-only resource. Keep the approved URL from the current publishing layer.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Production guardrails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16:9; 1920 × 1080 minimum. Palette: navy #112345, cream #F5F1E8, muted gold #C9A84C, warm yellow #F2C44C. Short editorial hook text is allowed over camera. Substantive teaching, comparisons and B-roll are true full-screen. No burned-in long-form transcript captions; final SRT and chapters follow the actual edit. One brief, quiet Subscribe cue after value, not another spoken ask.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Keep the existing three-candidate Shorts bank; this handoff does not create new Shorts. Audit any extract against the current source before reuse. Re-anchor only changed source triggers and update only affected graphics, metadata, cue maps and dependent documents. Historical packages stay untouched.</w:t>
      </w:r>
    </w:p>
    <w:p>
      <w:pPr>
        <w:spacing w:after="0"/>
      </w:pPr>
      <w:r>
        <w:rPr>
          <w:rFonts w:ascii="Calibri" w:hAnsi="Calibri"/>
          <w:b w:val="0"/>
          <w:color w:val="4D5A6C"/>
          <w:sz w:val="17"/>
        </w:rPr>
        <w:t>Source: latest September 16 BEAST MODE master, the curiosity/outcome companion brief, and Temidayo’s current early-edit clarification. All quoted trigger excerpts occur in the current script. Instructions are proposed editing choices, not a certification of rendered assets or the finished video.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A6C"/>
        <w:sz w:val="16"/>
      </w:rPr>
      <w:t xml:space="preserve">V9  •  Early-curiosity editing brief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4D5A6C"/>
        <w:sz w:val="16"/>
      </w:rPr>
      <w:t>CAPABILITY FORMATION   |   NEW PUBLIC V9   |   EARLY-CURIOSITY EDITING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color w:val="2534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123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23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123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V9 | Early-curiosity editing brief | Transferable Skills Advice Is Missing Something</dc:title>
  <dc:subject>September 16, 2026 source-controlled recording and early-edit handoff</dc:subject>
  <dc:creator>Temidayo Afonja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