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112345"/>
          <w:sz w:val="18"/>
        </w:rPr>
        <w:t>NEW PUBLIC V10  |  NEW CONCEPT; NO FORMER ROADMAP NUMBER</w:t>
      </w:r>
    </w:p>
    <w:p>
      <w:pPr>
        <w:spacing w:after="140"/>
      </w:pPr>
      <w:r>
        <w:rPr>
          <w:rFonts w:ascii="Calibri" w:hAnsi="Calibri"/>
          <w:b/>
          <w:color w:val="112345"/>
          <w:sz w:val="38"/>
        </w:rPr>
        <w:t>Your First 90 Days in a New Job: What Really Matters</w:t>
      </w:r>
    </w:p>
    <w:p>
      <w:pPr>
        <w:spacing w:after="120"/>
      </w:pPr>
      <w:r>
        <w:rPr>
          <w:rFonts w:ascii="Calibri" w:hAnsi="Calibri"/>
          <w:b/>
          <w:color w:val="112345"/>
          <w:sz w:val="21"/>
        </w:rPr>
        <w:t>THUMBNAIL: DON’T SPEND YOUR FIRST 90 DAYS PROVING YOURSELF</w:t>
      </w:r>
    </w:p>
    <w:p>
      <w:pPr>
        <w:spacing w:after="60"/>
      </w:pPr>
      <w:r>
        <w:rPr>
          <w:rFonts w:ascii="Calibri" w:hAnsi="Calibri"/>
          <w:b/>
          <w:color w:val="4D5A6C"/>
          <w:sz w:val="20"/>
        </w:rPr>
        <w:t>EDITOR ONLY | Long-form curiosity, sound, cutaways and outcomes</w:t>
      </w:r>
    </w:p>
    <w:p>
      <w:pPr>
        <w:spacing w:after="160"/>
      </w:pPr>
      <w:r>
        <w:rPr>
          <w:rFonts w:ascii="Calibri" w:hAnsi="Calibri"/>
          <w:b w:val="0"/>
          <w:color w:val="4D5A6C"/>
          <w:sz w:val="16"/>
        </w:rPr>
        <w:t>Created Wednesday, September 16, 2026 | 10:06 AM CT (CDT, UTC-05:00)</w:t>
      </w:r>
    </w:p>
    <w:p>
      <w:pPr>
        <w:spacing w:after="140"/>
        <w:shd w:fill="F5F1E8"/>
      </w:pPr>
      <w:r>
        <w:rPr>
          <w:rFonts w:ascii="Calibri" w:hAnsi="Calibri"/>
          <w:b/>
          <w:color w:val="112345"/>
          <w:sz w:val="22"/>
        </w:rPr>
        <w:t>CAMERA-LED DOES NOT MEAN CAMERA-ONLY AT THE START.</w:t>
      </w:r>
    </w:p>
    <w:p>
      <w:pPr>
        <w:spacing w:after="140"/>
      </w:pPr>
      <w:r>
        <w:rPr>
          <w:rFonts w:ascii="Calibri" w:hAnsi="Calibri"/>
          <w:b w:val="0"/>
          <w:color w:val="25344A"/>
          <w:sz w:val="21"/>
        </w:rPr>
        <w:t>Begin with the first spoken line, not a logo or welcome sequence. Editorial opening text and a useful cutaway can arrive in the first few seconds. The optional personal-intro window is not a waiting period for visuals or sound. Use the exact anchors below, not guessed playback timestamps.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The viewer’s reason to watch</w:t>
      </w:r>
    </w:p>
    <w:p>
      <w:pPr>
        <w:spacing w:after="80"/>
      </w:pPr>
      <w:r>
        <w:rPr>
          <w:rFonts w:ascii="Calibri" w:hAnsi="Calibri"/>
          <w:b w:val="0"/>
          <w:color w:val="25344A"/>
          <w:sz w:val="21"/>
        </w:rPr>
        <w:t>OUTCOME: Contribute while learning the new context, build real proof and assess what the actual role is showing the viewer.</w:t>
      </w:r>
    </w:p>
    <w:p>
      <w:pPr>
        <w:spacing w:after="80"/>
      </w:pPr>
      <w:r>
        <w:rPr>
          <w:rFonts w:ascii="Calibri" w:hAnsi="Calibri"/>
          <w:b w:val="0"/>
          <w:color w:val="25344A"/>
          <w:sz w:val="21"/>
        </w:rPr>
        <w:t>CURIOSITY: What should you prove in a context you do not yet fully understand, and what should the role show you?</w:t>
      </w:r>
    </w:p>
    <w:p>
      <w:pPr>
        <w:spacing w:after="80"/>
      </w:pPr>
      <w:r>
        <w:rPr>
          <w:rFonts w:ascii="Calibri" w:hAnsi="Calibri"/>
          <w:b w:val="0"/>
          <w:color w:val="25344A"/>
          <w:sz w:val="21"/>
        </w:rPr>
        <w:t>WHY THIS METHOD: READ / TEST / PROVE / ROLE CHECK connects contribution with context and makes the evaluation two-way.</w:t>
      </w:r>
    </w:p>
    <w:p>
      <w:pPr>
        <w:spacing w:after="140"/>
      </w:pPr>
      <w:r>
        <w:rPr>
          <w:rFonts w:ascii="Calibri" w:hAnsi="Calibri"/>
          <w:b w:val="0"/>
          <w:color w:val="25344A"/>
          <w:sz w:val="21"/>
        </w:rPr>
        <w:t>OBSERVABLE TAKEAWAY: A working page names what was learned, what traveled, what can now be demonstrated and what the role revealed. A giant win by day 90 is not required.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Opening treatment | first spoken beats</w:t>
      </w:r>
    </w:p>
    <w:p>
      <w:pPr>
        <w:keepNext/>
        <w:spacing w:after="60"/>
      </w:pPr>
      <w:r>
        <w:rPr>
          <w:rFonts w:ascii="Calibri" w:hAnsi="Calibri"/>
          <w:b/>
          <w:color w:val="112345"/>
          <w:sz w:val="20"/>
        </w:rPr>
        <w:t>1. CAMERA + BRIEF EDITORIAL TEXT</w:t>
      </w:r>
    </w:p>
    <w:p>
      <w:pPr>
        <w:keepNext/>
        <w:spacing w:after="60"/>
      </w:pPr>
      <w:r>
        <w:rPr>
          <w:rFonts w:ascii="Calibri" w:hAnsi="Calibri"/>
          <w:b w:val="0"/>
          <w:color w:val="25344A"/>
          <w:sz w:val="20"/>
        </w:rPr>
        <w:t>Exact spoken trigger: “You finally got the job.”</w:t>
      </w:r>
    </w:p>
    <w:p>
      <w:pPr>
        <w:keepNext/>
        <w:spacing w:after="60"/>
      </w:pPr>
      <w:r>
        <w:rPr>
          <w:rFonts w:ascii="Calibri" w:hAnsi="Calibri"/>
          <w:b/>
          <w:color w:val="25344A"/>
          <w:sz w:val="20"/>
        </w:rPr>
        <w:t>Display copy: FIRST 90 DAYS</w:t>
      </w:r>
    </w:p>
    <w:p>
      <w:pPr>
        <w:spacing w:after="140"/>
      </w:pPr>
      <w:r>
        <w:rPr>
          <w:rFonts w:ascii="Calibri" w:hAnsi="Calibri"/>
          <w:b w:val="0"/>
          <w:color w:val="25344A"/>
          <w:sz w:val="20"/>
        </w:rPr>
        <w:t>Start with her face and immediate line. Introduce the setting as a short editorial label; no welcome sequence.</w:t>
      </w:r>
    </w:p>
    <w:p>
      <w:pPr>
        <w:keepNext/>
        <w:spacing w:after="60"/>
      </w:pPr>
      <w:r>
        <w:rPr>
          <w:rFonts w:ascii="Calibri" w:hAnsi="Calibri"/>
          <w:b/>
          <w:color w:val="112345"/>
          <w:sz w:val="20"/>
        </w:rPr>
        <w:t>2. TRUE FULL-SCREEN QUESTION CARD  |  S1: brief sound stinger</w:t>
      </w:r>
    </w:p>
    <w:p>
      <w:pPr>
        <w:keepNext/>
        <w:spacing w:after="60"/>
      </w:pPr>
      <w:r>
        <w:rPr>
          <w:rFonts w:ascii="Calibri" w:hAnsi="Calibri"/>
          <w:b w:val="0"/>
          <w:color w:val="25344A"/>
          <w:sz w:val="20"/>
        </w:rPr>
        <w:t>Exact spoken trigger: “this pressure to prove they made the right decision.”</w:t>
      </w:r>
    </w:p>
    <w:p>
      <w:pPr>
        <w:keepNext/>
        <w:spacing w:after="60"/>
      </w:pPr>
      <w:r>
        <w:rPr>
          <w:rFonts w:ascii="Calibri" w:hAnsi="Calibri"/>
          <w:b/>
          <w:color w:val="25344A"/>
          <w:sz w:val="20"/>
        </w:rPr>
        <w:t>Display copy: PROVE THEY CHOSE WELL?</w:t>
      </w:r>
    </w:p>
    <w:p>
      <w:pPr>
        <w:spacing w:after="140"/>
      </w:pPr>
      <w:r>
        <w:rPr>
          <w:rFonts w:ascii="Calibri" w:hAnsi="Calibri"/>
          <w:b w:val="0"/>
          <w:color w:val="25344A"/>
          <w:sz w:val="20"/>
        </w:rPr>
        <w:t>An early full-screen question can arrive on this sentence. One subtle click. Keep the camera return close so the pressure remains personal.</w:t>
      </w:r>
    </w:p>
    <w:p>
      <w:pPr>
        <w:keepNext/>
        <w:spacing w:after="60"/>
      </w:pPr>
      <w:r>
        <w:rPr>
          <w:rFonts w:ascii="Calibri" w:hAnsi="Calibri"/>
          <w:b/>
          <w:color w:val="112345"/>
          <w:sz w:val="20"/>
        </w:rPr>
        <w:t>3. TRUE FULL-SCREEN COMPARISON</w:t>
      </w:r>
    </w:p>
    <w:p>
      <w:pPr>
        <w:keepNext/>
        <w:spacing w:after="60"/>
      </w:pPr>
      <w:r>
        <w:rPr>
          <w:rFonts w:ascii="Calibri" w:hAnsi="Calibri"/>
          <w:b w:val="0"/>
          <w:color w:val="25344A"/>
          <w:sz w:val="20"/>
        </w:rPr>
        <w:t>Exact spoken trigger: “trying to fix things before you understand why they work this way.”</w:t>
      </w:r>
    </w:p>
    <w:p>
      <w:pPr>
        <w:keepNext/>
        <w:spacing w:after="60"/>
      </w:pPr>
      <w:r>
        <w:rPr>
          <w:rFonts w:ascii="Calibri" w:hAnsi="Calibri"/>
          <w:b/>
          <w:color w:val="25344A"/>
          <w:sz w:val="20"/>
        </w:rPr>
        <w:t>Display copy: FIX TOO SOON / STAY TOO QUIET</w:t>
      </w:r>
    </w:p>
    <w:p>
      <w:pPr>
        <w:spacing w:after="140"/>
      </w:pPr>
      <w:r>
        <w:rPr>
          <w:rFonts w:ascii="Calibri" w:hAnsi="Calibri"/>
          <w:b w:val="0"/>
          <w:color w:val="25344A"/>
          <w:sz w:val="20"/>
        </w:rPr>
        <w:t>Reveal the first side with this paragraph and the second with the next. These are the two incomplete defaults, not an instruction to stop contributing.</w:t>
      </w:r>
    </w:p>
    <w:p>
      <w:pPr>
        <w:keepNext/>
        <w:spacing w:after="60"/>
      </w:pPr>
      <w:r>
        <w:rPr>
          <w:rFonts w:ascii="Calibri" w:hAnsi="Calibri"/>
          <w:b/>
          <w:color w:val="112345"/>
          <w:sz w:val="20"/>
        </w:rPr>
        <w:t>4. RETURN TO CAMERA</w:t>
      </w:r>
    </w:p>
    <w:p>
      <w:pPr>
        <w:keepNext/>
        <w:spacing w:after="60"/>
      </w:pPr>
      <w:r>
        <w:rPr>
          <w:rFonts w:ascii="Calibri" w:hAnsi="Calibri"/>
          <w:b w:val="0"/>
          <w:color w:val="25344A"/>
          <w:sz w:val="20"/>
        </w:rPr>
        <w:t>Exact spoken trigger: “I do not think either one is the job of your first 90 days.”</w:t>
      </w:r>
    </w:p>
    <w:p>
      <w:pPr>
        <w:keepNext/>
        <w:spacing w:after="60"/>
      </w:pPr>
      <w:r>
        <w:rPr>
          <w:rFonts w:ascii="Calibri" w:hAnsi="Calibri"/>
          <w:b/>
          <w:color w:val="25344A"/>
          <w:sz w:val="20"/>
        </w:rPr>
        <w:t>Display copy: CONTRIBUTE WHILE LEARNING THE CONTEXT</w:t>
      </w:r>
    </w:p>
    <w:p>
      <w:pPr>
        <w:spacing w:after="140"/>
      </w:pPr>
      <w:r>
        <w:rPr>
          <w:rFonts w:ascii="Calibri" w:hAnsi="Calibri"/>
          <w:b w:val="0"/>
          <w:color w:val="25344A"/>
          <w:sz w:val="20"/>
        </w:rPr>
        <w:t>Give the correction on camera. No pause icon across a 90-day calendar; the viewer must not hear “do nothing.”</w:t>
      </w:r>
    </w:p>
    <w:p>
      <w:pPr>
        <w:spacing w:after="0"/>
      </w:pPr>
      <w:r>
        <w:rPr>
          <w:rFonts w:ascii="Calibri" w:hAnsi="Calibri"/>
          <w:b w:val="0"/>
          <w:color w:val="4D5A6C"/>
          <w:sz w:val="18"/>
        </w:rPr>
        <w:t>Display copy is editorial text, not a changed transcript. The underlying voice continues through cutaways. Hold for comprehension, then return to her interpretation. No repetitive word-by-word long-form captions.</w:t>
      </w:r>
    </w:p>
    <w:p>
      <w:r>
        <w:br w:type="page"/>
      </w:r>
    </w:p>
    <w:p>
      <w:pPr>
        <w:spacing w:after="140"/>
      </w:pPr>
      <w:r>
        <w:rPr>
          <w:rFonts w:ascii="Calibri" w:hAnsi="Calibri"/>
          <w:b/>
          <w:color w:val="112345"/>
          <w:sz w:val="36"/>
        </w:rPr>
        <w:t>Make the teaching usable</w:t>
      </w:r>
    </w:p>
    <w:p>
      <w:pPr>
        <w:spacing w:after="160"/>
      </w:pPr>
      <w:r>
        <w:rPr>
          <w:rFonts w:ascii="Calibri" w:hAnsi="Calibri"/>
          <w:b w:val="0"/>
          <w:color w:val="25344A"/>
          <w:sz w:val="21"/>
        </w:rPr>
        <w:t>Keep the activities. Show why the viewer would do them and the specific answer, note, or conversation they leave with. Do not replace practical teaching with bigger promises.</w:t>
      </w:r>
    </w:p>
    <w:p>
      <w:pPr>
        <w:pStyle w:val="Heading2"/>
        <w:spacing w:after="60"/>
      </w:pPr>
      <w:r>
        <w:rPr>
          <w:rFonts w:ascii="Calibri" w:hAnsi="Calibri"/>
          <w:b/>
          <w:color w:val="112345"/>
          <w:sz w:val="21"/>
        </w:rPr>
        <w:t>1. HOOK  |  S2</w:t>
      </w:r>
    </w:p>
    <w:p>
      <w:pPr>
        <w:keepNext/>
        <w:spacing w:after="80"/>
      </w:pPr>
      <w:r>
        <w:rPr>
          <w:rFonts w:ascii="Calibri" w:hAnsi="Calibri"/>
          <w:b w:val="0"/>
          <w:color w:val="25344A"/>
          <w:sz w:val="21"/>
        </w:rPr>
        <w:t>Exact spoken trigger: “I think about that as READ. TEST. PROVE.”</w:t>
      </w:r>
    </w:p>
    <w:p>
      <w:pPr>
        <w:keepNext/>
        <w:spacing w:after="80"/>
      </w:pPr>
      <w:r>
        <w:rPr>
          <w:rFonts w:ascii="Calibri" w:hAnsi="Calibri"/>
          <w:b/>
          <w:color w:val="25344A"/>
          <w:sz w:val="20"/>
        </w:rPr>
        <w:t>TRUE FULL-SCREEN FRAMEWORK  |  READ / TEST / PROVE</w:t>
      </w:r>
    </w:p>
    <w:p>
      <w:pPr>
        <w:spacing w:after="160"/>
      </w:pPr>
      <w:r>
        <w:rPr>
          <w:rFonts w:ascii="Calibri" w:hAnsi="Calibri"/>
          <w:b w:val="0"/>
          <w:color w:val="25344A"/>
          <w:sz w:val="21"/>
        </w:rPr>
        <w:t>Reveal with the source words. This follows the early recognition/cutaway, not a long camera-only delay. Introduce ROLE CHECK when the following line introduces it.</w:t>
      </w:r>
    </w:p>
    <w:p>
      <w:pPr>
        <w:pStyle w:val="Heading2"/>
        <w:spacing w:after="60"/>
      </w:pPr>
      <w:r>
        <w:rPr>
          <w:rFonts w:ascii="Calibri" w:hAnsi="Calibri"/>
          <w:b/>
          <w:color w:val="112345"/>
          <w:sz w:val="21"/>
        </w:rPr>
        <w:t>2. WHAT READ DOES NOT MEAN</w:t>
      </w:r>
    </w:p>
    <w:p>
      <w:pPr>
        <w:keepNext/>
        <w:spacing w:after="80"/>
      </w:pPr>
      <w:r>
        <w:rPr>
          <w:rFonts w:ascii="Calibri" w:hAnsi="Calibri"/>
          <w:b w:val="0"/>
          <w:color w:val="25344A"/>
          <w:sz w:val="21"/>
        </w:rPr>
        <w:t>Exact spoken trigger: “READ does not mean sit quietly for 30 days and contribute nothing.”</w:t>
      </w:r>
    </w:p>
    <w:p>
      <w:pPr>
        <w:keepNext/>
        <w:spacing w:after="80"/>
      </w:pPr>
      <w:r>
        <w:rPr>
          <w:rFonts w:ascii="Calibri" w:hAnsi="Calibri"/>
          <w:b/>
          <w:color w:val="25344A"/>
          <w:sz w:val="20"/>
        </w:rPr>
        <w:t>CAMERA, THEN BRIEF FULL-SCREEN CONTRAST  |  READ ≠ STAY SILENT</w:t>
      </w:r>
    </w:p>
    <w:p>
      <w:pPr>
        <w:spacing w:after="160"/>
      </w:pPr>
      <w:r>
        <w:rPr>
          <w:rFonts w:ascii="Calibri" w:hAnsi="Calibri"/>
          <w:b w:val="0"/>
          <w:color w:val="25344A"/>
          <w:sz w:val="21"/>
        </w:rPr>
        <w:t>Keep the useful-expertise and risk-raising examples audible. This protects the thumbnail’s meaning.</w:t>
      </w:r>
    </w:p>
    <w:p>
      <w:pPr>
        <w:pStyle w:val="Heading2"/>
        <w:spacing w:after="60"/>
      </w:pPr>
      <w:r>
        <w:rPr>
          <w:rFonts w:ascii="Calibri" w:hAnsi="Calibri"/>
          <w:b/>
          <w:color w:val="112345"/>
          <w:sz w:val="21"/>
        </w:rPr>
        <w:t>3. THE CONVERSATION I WOULD HAVE  |  S3</w:t>
      </w:r>
    </w:p>
    <w:p>
      <w:pPr>
        <w:keepNext/>
        <w:spacing w:after="80"/>
      </w:pPr>
      <w:r>
        <w:rPr>
          <w:rFonts w:ascii="Calibri" w:hAnsi="Calibri"/>
          <w:b w:val="0"/>
          <w:color w:val="25344A"/>
          <w:sz w:val="21"/>
        </w:rPr>
        <w:t>Exact spoken trigger: “What would you want to trust me with by the end of my first 90 days”</w:t>
      </w:r>
    </w:p>
    <w:p>
      <w:pPr>
        <w:keepNext/>
        <w:spacing w:after="80"/>
      </w:pPr>
      <w:r>
        <w:rPr>
          <w:rFonts w:ascii="Calibri" w:hAnsi="Calibri"/>
          <w:b/>
          <w:color w:val="25344A"/>
          <w:sz w:val="20"/>
        </w:rPr>
        <w:t>TRUE FULL-SCREEN CONVERSATION  |  WHAT WOULD YOU TRUST ME WITH BY DAY 90?</w:t>
      </w:r>
    </w:p>
    <w:p>
      <w:pPr>
        <w:spacing w:after="160"/>
      </w:pPr>
      <w:r>
        <w:rPr>
          <w:rFonts w:ascii="Calibri" w:hAnsi="Calibri"/>
          <w:b w:val="0"/>
          <w:color w:val="25344A"/>
          <w:sz w:val="21"/>
        </w:rPr>
        <w:t>The display heading is a paraphrase. Show the full exact question from the parent paragraph below in two states, including the day-one comparison.</w:t>
      </w:r>
    </w:p>
    <w:p>
      <w:pPr>
        <w:pStyle w:val="Heading2"/>
        <w:spacing w:after="60"/>
      </w:pPr>
      <w:r>
        <w:rPr>
          <w:rFonts w:ascii="Calibri" w:hAnsi="Calibri"/>
          <w:b/>
          <w:color w:val="112345"/>
          <w:sz w:val="21"/>
        </w:rPr>
        <w:t>4. THE REVERSAL | THEY ARE NOT THE ONLY ONES EVALUATING  |  S4</w:t>
      </w:r>
    </w:p>
    <w:p>
      <w:pPr>
        <w:keepNext/>
        <w:spacing w:after="80"/>
      </w:pPr>
      <w:r>
        <w:rPr>
          <w:rFonts w:ascii="Calibri" w:hAnsi="Calibri"/>
          <w:b w:val="0"/>
          <w:color w:val="25344A"/>
          <w:sz w:val="21"/>
        </w:rPr>
        <w:t>Exact spoken trigger: “They are not the only ones evaluating.”</w:t>
      </w:r>
    </w:p>
    <w:p>
      <w:pPr>
        <w:keepNext/>
        <w:spacing w:after="80"/>
      </w:pPr>
      <w:r>
        <w:rPr>
          <w:rFonts w:ascii="Calibri" w:hAnsi="Calibri"/>
          <w:b/>
          <w:color w:val="25344A"/>
          <w:sz w:val="20"/>
        </w:rPr>
        <w:t>TRUE FULL-SCREEN CALLBACK  |  THEY ARE NOT THE ONLY ONES EVALUATING</w:t>
      </w:r>
    </w:p>
    <w:p>
      <w:pPr>
        <w:spacing w:after="160"/>
      </w:pPr>
      <w:r>
        <w:rPr>
          <w:rFonts w:ascii="Calibri" w:hAnsi="Calibri"/>
          <w:b w:val="0"/>
          <w:color w:val="25344A"/>
          <w:sz w:val="21"/>
        </w:rPr>
        <w:t>The source already previewed this idea. Treat the return as payoff and application, not a brand-new secret. One soft tonal accent.</w:t>
      </w:r>
    </w:p>
    <w:p>
      <w:pPr>
        <w:pStyle w:val="Heading2"/>
        <w:spacing w:after="60"/>
      </w:pPr>
      <w:r>
        <w:rPr>
          <w:rFonts w:ascii="Calibri" w:hAnsi="Calibri"/>
          <w:b/>
          <w:color w:val="112345"/>
          <w:sz w:val="21"/>
        </w:rPr>
        <w:t>5. THE FIRST-90-DAYS READ  |  S5</w:t>
      </w:r>
    </w:p>
    <w:p>
      <w:pPr>
        <w:keepNext/>
        <w:spacing w:after="80"/>
      </w:pPr>
      <w:r>
        <w:rPr>
          <w:rFonts w:ascii="Calibri" w:hAnsi="Calibri"/>
          <w:b w:val="0"/>
          <w:color w:val="25344A"/>
          <w:sz w:val="21"/>
        </w:rPr>
        <w:t>Exact spoken trigger: “ROLE CHECK. What have these 90 days taught me about the job itself?”</w:t>
      </w:r>
    </w:p>
    <w:p>
      <w:pPr>
        <w:keepNext/>
        <w:spacing w:after="80"/>
      </w:pPr>
      <w:r>
        <w:rPr>
          <w:rFonts w:ascii="Calibri" w:hAnsi="Calibri"/>
          <w:b/>
          <w:color w:val="25344A"/>
          <w:sz w:val="20"/>
        </w:rPr>
        <w:t>TRUE FULL-SCREEN WORKING PAGE  |  READ / TEST / PROVE / ROLE CHECK</w:t>
      </w:r>
    </w:p>
    <w:p>
      <w:pPr>
        <w:spacing w:after="160"/>
      </w:pPr>
      <w:r>
        <w:rPr>
          <w:rFonts w:ascii="Calibri" w:hAnsi="Calibri"/>
          <w:b w:val="0"/>
          <w:color w:val="25344A"/>
          <w:sz w:val="21"/>
        </w:rPr>
        <w:t>Let each source question populate the page. Add ROLE CHECK last, then show the full tool long enough to read. The action is a clearer plan, not performance theater.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Meaningful B-roll / artifact options</w:t>
      </w:r>
    </w:p>
    <w:p>
      <w:pPr>
        <w:spacing w:after="120"/>
      </w:pPr>
      <w:r>
        <w:rPr>
          <w:rFonts w:ascii="Calibri" w:hAnsi="Calibri"/>
          <w:b w:val="0"/>
          <w:color w:val="25344A"/>
          <w:sz w:val="21"/>
        </w:rPr>
        <w:t>Two useful options: an illustrative old-process/new-context comparison; a personal first-90-days working page. No trophy, guaranteed promotion or frozen 90-day countdown.</w:t>
      </w:r>
    </w:p>
    <w:p>
      <w:pPr>
        <w:spacing w:after="0"/>
      </w:pPr>
      <w:r>
        <w:rPr>
          <w:rFonts w:ascii="Calibri" w:hAnsi="Calibri"/>
          <w:b w:val="0"/>
          <w:color w:val="4D5A6C"/>
          <w:sz w:val="18"/>
        </w:rPr>
        <w:t>Show examples as examples. Do not fabricate personal outcomes, employer records, screenshots, research results, or evidence. New visuals are proposed instructions here, not delivered slide files.</w:t>
      </w:r>
    </w:p>
    <w:p>
      <w:r>
        <w:br w:type="page"/>
      </w:r>
    </w:p>
    <w:p>
      <w:pPr>
        <w:spacing w:after="140"/>
      </w:pPr>
      <w:r>
        <w:rPr>
          <w:rFonts w:ascii="Calibri" w:hAnsi="Calibri"/>
          <w:b/>
          <w:color w:val="112345"/>
          <w:sz w:val="36"/>
        </w:rPr>
        <w:t>Sound, delivery and handoff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Sound plan</w:t>
      </w:r>
    </w:p>
    <w:p>
      <w:pPr>
        <w:spacing w:after="120"/>
      </w:pPr>
      <w:r>
        <w:rPr>
          <w:rFonts w:ascii="Calibri" w:hAnsi="Calibri"/>
          <w:b w:val="0"/>
          <w:color w:val="25344A"/>
          <w:sz w:val="21"/>
        </w:rPr>
        <w:t>Five planned accents, S1–S5, are marked on exact source passages. S1 occurs in the opening. A stinger means a brief sound cue: a quiet click, soft tap, paper movement, or restrained tonal accent. Text or a cutaway is a separate visual choice.</w:t>
      </w:r>
    </w:p>
    <w:p>
      <w:pPr>
        <w:spacing w:after="140"/>
      </w:pPr>
      <w:r>
        <w:rPr>
          <w:rFonts w:ascii="Calibri" w:hAnsi="Calibri"/>
          <w:b w:val="0"/>
          <w:color w:val="25344A"/>
          <w:sz w:val="21"/>
        </w:rPr>
        <w:t>Audition each cue under the actual voice. Keep speech clear; no alarms, loud whooshes, compulsory background music or sound on every bullet. Do not add a second effect when an existing cue already does the job. Five is an editorial plan, not a measured export count or retention guarantee.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Camera emphasis | four proposed beats</w:t>
      </w:r>
    </w:p>
    <w:p>
      <w:pPr>
        <w:spacing w:after="60"/>
      </w:pPr>
      <w:r>
        <w:rPr>
          <w:rFonts w:ascii="Calibri" w:hAnsi="Calibri"/>
          <w:b w:val="0"/>
          <w:color w:val="25344A"/>
          <w:sz w:val="21"/>
        </w:rPr>
        <w:t>• Base for the two incomplete defaults.</w:t>
      </w:r>
    </w:p>
    <w:p>
      <w:pPr>
        <w:spacing w:after="60"/>
      </w:pPr>
      <w:r>
        <w:rPr>
          <w:rFonts w:ascii="Calibri" w:hAnsi="Calibri"/>
          <w:b w:val="0"/>
          <w:color w:val="25344A"/>
          <w:sz w:val="21"/>
        </w:rPr>
        <w:t>• Gentle push-in at “experienced and still new to the context.”</w:t>
      </w:r>
    </w:p>
    <w:p>
      <w:pPr>
        <w:spacing w:after="60"/>
      </w:pPr>
      <w:r>
        <w:rPr>
          <w:rFonts w:ascii="Calibri" w:hAnsi="Calibri"/>
          <w:b w:val="0"/>
          <w:color w:val="25344A"/>
          <w:sz w:val="21"/>
        </w:rPr>
        <w:t>• Return to base for the regulated-work boundary.</w:t>
      </w:r>
    </w:p>
    <w:p>
      <w:pPr>
        <w:spacing w:after="60"/>
      </w:pPr>
      <w:r>
        <w:rPr>
          <w:rFonts w:ascii="Calibri" w:hAnsi="Calibri"/>
          <w:b w:val="0"/>
          <w:color w:val="25344A"/>
          <w:sz w:val="21"/>
        </w:rPr>
        <w:t>• Final emphasis on the two-way evaluation before Watch Next.</w:t>
      </w:r>
    </w:p>
    <w:p>
      <w:pPr>
        <w:spacing w:after="140"/>
      </w:pPr>
      <w:r>
        <w:rPr>
          <w:rFonts w:ascii="Calibri" w:hAnsi="Calibri"/>
          <w:b w:val="0"/>
          <w:color w:val="25344A"/>
          <w:sz w:val="21"/>
        </w:rPr>
        <w:t>Use gentle push-ins or a return to the base frame. Keep natural pauses. Do not make every thought-block boundary a visible hard cut. Do not remove sentences to manufacture pace.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Public boundary to preserve</w:t>
      </w:r>
    </w:p>
    <w:p>
      <w:pPr>
        <w:spacing w:after="140"/>
      </w:pPr>
      <w:r>
        <w:rPr>
          <w:rFonts w:ascii="Calibri" w:hAnsi="Calibri"/>
          <w:b w:val="0"/>
          <w:color w:val="25344A"/>
          <w:sz w:val="21"/>
        </w:rPr>
        <w:t>Keep the longer approved thumbnail. No waiting until day 90 to contribute. No rigid 30/60/90 allocation, no universal manager standard and no theatrical quick win. Context, regulation and role constraints remain real.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Final sequence and one primary ask</w:t>
      </w:r>
    </w:p>
    <w:p>
      <w:pPr>
        <w:spacing w:after="100"/>
      </w:pPr>
      <w:r>
        <w:rPr>
          <w:rFonts w:ascii="Calibri" w:hAnsi="Calibri"/>
          <w:b w:val="0"/>
          <w:color w:val="25344A"/>
          <w:sz w:val="21"/>
        </w:rPr>
        <w:t>Keep the source TAKEAWAY VALUE, STORY LOOP PAYOFF, CLOSE and CONFIDENCE / VIEWER OUTCOME in order. They already carry the useful outcome; do not add another outcome speech or repeated ending.</w:t>
      </w:r>
    </w:p>
    <w:p>
      <w:pPr>
        <w:spacing w:after="100"/>
      </w:pPr>
      <w:r>
        <w:rPr>
          <w:rFonts w:ascii="Calibri" w:hAnsi="Calibri"/>
          <w:b w:val="0"/>
          <w:color w:val="25344A"/>
          <w:sz w:val="21"/>
        </w:rPr>
        <w:t>Exact Watch Next: “And if your first 90 days are showing you that the job you started is not the job you thought you accepted, that is a different problem. I made the next video for exactly that. Watch “What to Do When Your New Job Isn’t the Job You Accepted” next.”</w:t>
      </w:r>
    </w:p>
    <w:p>
      <w:pPr>
        <w:spacing w:after="120"/>
      </w:pPr>
      <w:r>
        <w:rPr>
          <w:rFonts w:ascii="Calibri" w:hAnsi="Calibri"/>
          <w:b w:val="0"/>
          <w:color w:val="25344A"/>
          <w:sz w:val="21"/>
        </w:rPr>
        <w:t>Switch to TRUE FULL-SCREEN for Watch Next from the start of that passage. The final Watch Next graphic is the last frame. Never return to camera. Verify the destination’s live status before upload; do not invent a link or silently substitute the spoken destination.</w:t>
      </w:r>
    </w:p>
    <w:p>
      <w:pPr>
        <w:spacing w:after="120"/>
      </w:pPr>
      <w:r>
        <w:rPr>
          <w:rFonts w:ascii="Calibri" w:hAnsi="Calibri"/>
          <w:b w:val="0"/>
          <w:color w:val="25344A"/>
          <w:sz w:val="20"/>
        </w:rPr>
        <w:t>Career Evidence Starter; one description-only resource. Intended Watch Next remains V11, subject to verified launch-day availability.</w:t>
      </w:r>
    </w:p>
    <w:p>
      <w:pPr>
        <w:pStyle w:val="Heading2"/>
        <w:spacing w:after="120"/>
      </w:pPr>
      <w:r>
        <w:rPr>
          <w:rFonts w:ascii="Calibri" w:hAnsi="Calibri"/>
          <w:b w:val="0"/>
          <w:color w:val="25344A"/>
        </w:rPr>
        <w:t>Production guardrails</w:t>
      </w:r>
    </w:p>
    <w:p>
      <w:pPr>
        <w:spacing w:after="120"/>
      </w:pPr>
      <w:r>
        <w:rPr>
          <w:rFonts w:ascii="Calibri" w:hAnsi="Calibri"/>
          <w:b w:val="0"/>
          <w:color w:val="25344A"/>
          <w:sz w:val="20"/>
        </w:rPr>
        <w:t>16:9; 1920 × 1080 minimum. Palette: navy #112345, cream #F5F1E8, muted gold #C9A84C, warm yellow #F2C44C. Short editorial hook text is allowed over camera. Substantive teaching, comparisons and B-roll are true full-screen. No burned-in long-form transcript captions; final SRT and chapters follow the actual edit. One brief, quiet Subscribe cue after value, not another spoken ask.</w:t>
      </w:r>
    </w:p>
    <w:p>
      <w:pPr>
        <w:spacing w:after="120"/>
      </w:pPr>
      <w:r>
        <w:rPr>
          <w:rFonts w:ascii="Calibri" w:hAnsi="Calibri"/>
          <w:b w:val="0"/>
          <w:color w:val="25344A"/>
          <w:sz w:val="20"/>
        </w:rPr>
        <w:t>Keep the existing three-candidate Shorts bank; this handoff does not create new Shorts. Audit any extract against the current source before reuse. Re-anchor only changed source triggers and update only affected graphics, metadata, cue maps and dependent documents. Historical packages stay untouched.</w:t>
      </w:r>
    </w:p>
    <w:p>
      <w:pPr>
        <w:spacing w:after="0"/>
      </w:pPr>
      <w:r>
        <w:rPr>
          <w:rFonts w:ascii="Calibri" w:hAnsi="Calibri"/>
          <w:b w:val="0"/>
          <w:color w:val="4D5A6C"/>
          <w:sz w:val="17"/>
        </w:rPr>
        <w:t>Source: latest September 16 BEAST MODE master, the curiosity/outcome companion brief, and Temidayo’s current early-edit clarification. All quoted trigger excerpts occur in the current script. Instructions are proposed editing choices, not a certification of rendered assets or the finished video.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64" w:left="1037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D5A6C"/>
        <w:sz w:val="16"/>
      </w:rPr>
      <w:t xml:space="preserve">V10  •  Early-curiosity editing brief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4D5A6C"/>
        <w:sz w:val="16"/>
      </w:rPr>
      <w:t>CAPABILITY FORMATION   |   NEW PUBLIC V10   |   EARLY-CURIOSITY EDITING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40"/>
    </w:pPr>
    <w:rPr>
      <w:rFonts w:ascii="Calibri" w:hAnsi="Calibri"/>
      <w:color w:val="2534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1234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1234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1234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V10 | Early-curiosity editing brief | Your First 90 Days in a New Job: What Really Matters</dc:title>
  <dc:subject>September 16, 2026 source-controlled recording and early-edit handoff</dc:subject>
  <dc:creator>Temidayo Afonja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