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b/>
          <w:color w:val="112345"/>
          <w:sz w:val="18"/>
        </w:rPr>
        <w:t>NEW PUBLIC V11  |  NEW CONCEPT; NO FORMER ROADMAP NUMBER</w:t>
      </w:r>
    </w:p>
    <w:p>
      <w:pPr>
        <w:spacing w:after="140"/>
      </w:pPr>
      <w:r>
        <w:rPr>
          <w:rFonts w:ascii="Calibri" w:hAnsi="Calibri"/>
          <w:b/>
          <w:color w:val="112345"/>
          <w:sz w:val="38"/>
        </w:rPr>
        <w:t>What to Do When Your New Job Isn’t the Job You Accepted</w:t>
      </w:r>
    </w:p>
    <w:p>
      <w:pPr>
        <w:spacing w:after="120"/>
      </w:pPr>
      <w:r>
        <w:rPr>
          <w:rFonts w:ascii="Calibri" w:hAnsi="Calibri"/>
          <w:b/>
          <w:color w:val="112345"/>
          <w:sz w:val="21"/>
        </w:rPr>
        <w:t>THUMBNAIL: THIS ISN’T THE JOB</w:t>
      </w:r>
    </w:p>
    <w:p>
      <w:pPr>
        <w:spacing w:after="60"/>
      </w:pPr>
      <w:r>
        <w:rPr>
          <w:rFonts w:ascii="Calibri" w:hAnsi="Calibri"/>
          <w:b/>
          <w:color w:val="4D5A6C"/>
          <w:sz w:val="20"/>
        </w:rPr>
        <w:t>EDITOR ONLY | Long-form curiosity, sound, cutaways and outcomes</w:t>
      </w:r>
    </w:p>
    <w:p>
      <w:pPr>
        <w:spacing w:after="160"/>
      </w:pPr>
      <w:r>
        <w:rPr>
          <w:rFonts w:ascii="Calibri" w:hAnsi="Calibri"/>
          <w:b w:val="0"/>
          <w:color w:val="4D5A6C"/>
          <w:sz w:val="16"/>
        </w:rPr>
        <w:t>Created Wednesday, September 16, 2026 | 10:06 AM CT (CDT, UTC-05:00)</w:t>
      </w:r>
    </w:p>
    <w:p>
      <w:pPr>
        <w:spacing w:after="140"/>
        <w:shd w:fill="F5F1E8"/>
      </w:pPr>
      <w:r>
        <w:rPr>
          <w:rFonts w:ascii="Calibri" w:hAnsi="Calibri"/>
          <w:b/>
          <w:color w:val="112345"/>
          <w:sz w:val="22"/>
        </w:rPr>
        <w:t>CAMERA-LED DOES NOT MEAN CAMERA-ONLY AT THE START.</w:t>
      </w:r>
    </w:p>
    <w:p>
      <w:pPr>
        <w:spacing w:after="140"/>
      </w:pPr>
      <w:r>
        <w:rPr>
          <w:rFonts w:ascii="Calibri" w:hAnsi="Calibri"/>
          <w:b w:val="0"/>
          <w:color w:val="25344A"/>
          <w:sz w:val="21"/>
        </w:rPr>
        <w:t>Begin with the first spoken line, not a logo or welcome sequence. Editorial opening text and a useful cutaway can arrive in the first few seconds. The optional personal-intro window is not a waiting period for visuals or sound. Use the exact anchors below, not guessed playback timestamps.</w:t>
      </w:r>
    </w:p>
    <w:p>
      <w:pPr>
        <w:pStyle w:val="Heading2"/>
        <w:spacing w:after="120"/>
      </w:pPr>
      <w:r>
        <w:rPr>
          <w:rFonts w:ascii="Calibri" w:hAnsi="Calibri"/>
          <w:b w:val="0"/>
          <w:color w:val="25344A"/>
        </w:rPr>
        <w:t>The viewer’s reason to watch</w:t>
      </w:r>
    </w:p>
    <w:p>
      <w:pPr>
        <w:spacing w:after="80"/>
      </w:pPr>
      <w:r>
        <w:rPr>
          <w:rFonts w:ascii="Calibri" w:hAnsi="Calibri"/>
          <w:b w:val="0"/>
          <w:color w:val="25344A"/>
          <w:sz w:val="21"/>
        </w:rPr>
        <w:t>OUTCOME: Name the difference between the job accepted and the job being done, identify one cost and choose a specific next conversation or action.</w:t>
      </w:r>
    </w:p>
    <w:p>
      <w:pPr>
        <w:spacing w:after="80"/>
      </w:pPr>
      <w:r>
        <w:rPr>
          <w:rFonts w:ascii="Calibri" w:hAnsi="Calibri"/>
          <w:b w:val="0"/>
          <w:color w:val="25344A"/>
          <w:sz w:val="21"/>
        </w:rPr>
        <w:t>CURIOSITY: Is the role still settling, or has it changed enough to require a different decision?</w:t>
      </w:r>
    </w:p>
    <w:p>
      <w:pPr>
        <w:spacing w:after="80"/>
      </w:pPr>
      <w:r>
        <w:rPr>
          <w:rFonts w:ascii="Calibri" w:hAnsi="Calibri"/>
          <w:b w:val="0"/>
          <w:color w:val="25344A"/>
          <w:sz w:val="21"/>
        </w:rPr>
        <w:t>WHY THIS METHOD: Separating expectation, recurring reality, cost and choice makes a conversation more specific without assuming deception.</w:t>
      </w:r>
    </w:p>
    <w:p>
      <w:pPr>
        <w:spacing w:after="140"/>
      </w:pPr>
      <w:r>
        <w:rPr>
          <w:rFonts w:ascii="Calibri" w:hAnsi="Calibri"/>
          <w:b w:val="0"/>
          <w:color w:val="25344A"/>
          <w:sz w:val="21"/>
        </w:rPr>
        <w:t>OBSERVABLE TAKEAWAY: One supported expectation, one recurring difference, one cost and one next action can be stated. Employer agreement or an easy exit is not promised.</w:t>
      </w:r>
    </w:p>
    <w:p>
      <w:pPr>
        <w:pStyle w:val="Heading2"/>
        <w:spacing w:after="120"/>
      </w:pPr>
      <w:r>
        <w:rPr>
          <w:rFonts w:ascii="Calibri" w:hAnsi="Calibri"/>
          <w:b w:val="0"/>
          <w:color w:val="25344A"/>
        </w:rPr>
        <w:t>Opening treatment | first spoken beats</w:t>
      </w:r>
    </w:p>
    <w:p>
      <w:pPr>
        <w:keepNext/>
        <w:spacing w:after="60"/>
      </w:pPr>
      <w:r>
        <w:rPr>
          <w:rFonts w:ascii="Calibri" w:hAnsi="Calibri"/>
          <w:b/>
          <w:color w:val="112345"/>
          <w:sz w:val="20"/>
        </w:rPr>
        <w:t>1. CAMERA, THEN TRUE FULL-SCREEN CUTAWAY  |  S1: brief sound stinger</w:t>
      </w:r>
    </w:p>
    <w:p>
      <w:pPr>
        <w:keepNext/>
        <w:spacing w:after="60"/>
      </w:pPr>
      <w:r>
        <w:rPr>
          <w:rFonts w:ascii="Calibri" w:hAnsi="Calibri"/>
          <w:b w:val="0"/>
          <w:color w:val="25344A"/>
          <w:sz w:val="20"/>
        </w:rPr>
        <w:t>Exact spoken trigger: “You accepted one job. Then you started doing another.”</w:t>
      </w:r>
    </w:p>
    <w:p>
      <w:pPr>
        <w:keepNext/>
        <w:spacing w:after="60"/>
      </w:pPr>
      <w:r>
        <w:rPr>
          <w:rFonts w:ascii="Calibri" w:hAnsi="Calibri"/>
          <w:b/>
          <w:color w:val="25344A"/>
          <w:sz w:val="20"/>
        </w:rPr>
        <w:t>Display copy: WHAT I ACCEPTED ≠ WHAT I AM DOING</w:t>
      </w:r>
    </w:p>
    <w:p>
      <w:pPr>
        <w:spacing w:after="140"/>
      </w:pPr>
      <w:r>
        <w:rPr>
          <w:rFonts w:ascii="Calibri" w:hAnsi="Calibri"/>
          <w:b w:val="0"/>
          <w:color w:val="25344A"/>
          <w:sz w:val="20"/>
        </w:rPr>
        <w:t>Begin her sentence on camera. Switch to two simple document cards during the second sentence, with one small click on the difference. An early visual is part of the hook, not something postponed until teaching.</w:t>
      </w:r>
    </w:p>
    <w:p>
      <w:pPr>
        <w:keepNext/>
        <w:spacing w:after="60"/>
      </w:pPr>
      <w:r>
        <w:rPr>
          <w:rFonts w:ascii="Calibri" w:hAnsi="Calibri"/>
          <w:b/>
          <w:color w:val="112345"/>
          <w:sz w:val="20"/>
        </w:rPr>
        <w:t>2. RETURN TO CAMERA + BRIEF EDITORIAL TEXT</w:t>
      </w:r>
    </w:p>
    <w:p>
      <w:pPr>
        <w:keepNext/>
        <w:spacing w:after="60"/>
      </w:pPr>
      <w:r>
        <w:rPr>
          <w:rFonts w:ascii="Calibri" w:hAnsi="Calibri"/>
          <w:b w:val="0"/>
          <w:color w:val="25344A"/>
          <w:sz w:val="20"/>
        </w:rPr>
        <w:t>Exact spoken trigger: “This is not the job I thought I accepted.”</w:t>
      </w:r>
    </w:p>
    <w:p>
      <w:pPr>
        <w:keepNext/>
        <w:spacing w:after="60"/>
      </w:pPr>
      <w:r>
        <w:rPr>
          <w:rFonts w:ascii="Calibri" w:hAnsi="Calibri"/>
          <w:b/>
          <w:color w:val="25344A"/>
          <w:sz w:val="20"/>
        </w:rPr>
        <w:t>Display copy: THIS ISN’T THE JOB</w:t>
      </w:r>
    </w:p>
    <w:p>
      <w:pPr>
        <w:spacing w:after="140"/>
      </w:pPr>
      <w:r>
        <w:rPr>
          <w:rFonts w:ascii="Calibri" w:hAnsi="Calibri"/>
          <w:b w:val="0"/>
          <w:color w:val="25344A"/>
          <w:sz w:val="20"/>
        </w:rPr>
        <w:t>Show the emotional recognition, then clear it. Keep the viewer’s uncertainty intact.</w:t>
      </w:r>
    </w:p>
    <w:p>
      <w:pPr>
        <w:keepNext/>
        <w:spacing w:after="60"/>
      </w:pPr>
      <w:r>
        <w:rPr>
          <w:rFonts w:ascii="Calibri" w:hAnsi="Calibri"/>
          <w:b/>
          <w:color w:val="112345"/>
          <w:sz w:val="20"/>
        </w:rPr>
        <w:t>3. CAMERA</w:t>
      </w:r>
    </w:p>
    <w:p>
      <w:pPr>
        <w:keepNext/>
        <w:spacing w:after="60"/>
      </w:pPr>
      <w:r>
        <w:rPr>
          <w:rFonts w:ascii="Calibri" w:hAnsi="Calibri"/>
          <w:b w:val="0"/>
          <w:color w:val="25344A"/>
          <w:sz w:val="20"/>
        </w:rPr>
        <w:t>Exact spoken trigger: “Before you call it a bait-and-switch, slow down.”</w:t>
      </w:r>
    </w:p>
    <w:p>
      <w:pPr>
        <w:keepNext/>
        <w:spacing w:after="60"/>
      </w:pPr>
      <w:r>
        <w:rPr>
          <w:rFonts w:ascii="Calibri" w:hAnsi="Calibri"/>
          <w:b/>
          <w:color w:val="25344A"/>
          <w:sz w:val="20"/>
        </w:rPr>
        <w:t>Display copy: CHANGE ≠ AUTOMATIC DECEPTION</w:t>
      </w:r>
    </w:p>
    <w:p>
      <w:pPr>
        <w:spacing w:after="140"/>
      </w:pPr>
      <w:r>
        <w:rPr>
          <w:rFonts w:ascii="Calibri" w:hAnsi="Calibri"/>
          <w:b w:val="0"/>
          <w:color w:val="25344A"/>
          <w:sz w:val="20"/>
        </w:rPr>
        <w:t>Keep the legitimate-change lines on camera or a very restrained card. No lie stamp, siren, angry boss or resignation animation.</w:t>
      </w:r>
    </w:p>
    <w:p>
      <w:pPr>
        <w:spacing w:after="0"/>
      </w:pPr>
      <w:r>
        <w:rPr>
          <w:rFonts w:ascii="Calibri" w:hAnsi="Calibri"/>
          <w:b w:val="0"/>
          <w:color w:val="4D5A6C"/>
          <w:sz w:val="18"/>
        </w:rPr>
        <w:t>Display copy is editorial text, not a changed transcript. The underlying voice continues through cutaways. Hold for comprehension, then return to her interpretation. No repetitive word-by-word long-form captions.</w:t>
      </w:r>
    </w:p>
    <w:p>
      <w:r>
        <w:br w:type="page"/>
      </w:r>
    </w:p>
    <w:p>
      <w:pPr>
        <w:spacing w:after="140"/>
      </w:pPr>
      <w:r>
        <w:rPr>
          <w:rFonts w:ascii="Calibri" w:hAnsi="Calibri"/>
          <w:b/>
          <w:color w:val="112345"/>
          <w:sz w:val="36"/>
        </w:rPr>
        <w:t>Make the teaching usable</w:t>
      </w:r>
    </w:p>
    <w:p>
      <w:pPr>
        <w:spacing w:after="160"/>
      </w:pPr>
      <w:r>
        <w:rPr>
          <w:rFonts w:ascii="Calibri" w:hAnsi="Calibri"/>
          <w:b w:val="0"/>
          <w:color w:val="25344A"/>
          <w:sz w:val="21"/>
        </w:rPr>
        <w:t>Keep the activities. Show why the viewer would do them and the specific answer, note, or conversation they leave with. Do not replace practical teaching with bigger promises.</w:t>
      </w:r>
    </w:p>
    <w:p>
      <w:pPr>
        <w:pStyle w:val="Heading2"/>
        <w:spacing w:after="60"/>
      </w:pPr>
      <w:r>
        <w:rPr>
          <w:rFonts w:ascii="Calibri" w:hAnsi="Calibri"/>
          <w:b/>
          <w:color w:val="112345"/>
          <w:sz w:val="21"/>
        </w:rPr>
        <w:t>1. HOOK  |  S2</w:t>
      </w:r>
    </w:p>
    <w:p>
      <w:pPr>
        <w:keepNext/>
        <w:spacing w:after="80"/>
      </w:pPr>
      <w:r>
        <w:rPr>
          <w:rFonts w:ascii="Calibri" w:hAnsi="Calibri"/>
          <w:b w:val="0"/>
          <w:color w:val="25344A"/>
          <w:sz w:val="21"/>
        </w:rPr>
        <w:t>Exact spoken trigger: “EXPECTED. ACTUAL. COST. CHOICE.”</w:t>
      </w:r>
    </w:p>
    <w:p>
      <w:pPr>
        <w:keepNext/>
        <w:spacing w:after="80"/>
      </w:pPr>
      <w:r>
        <w:rPr>
          <w:rFonts w:ascii="Calibri" w:hAnsi="Calibri"/>
          <w:b/>
          <w:color w:val="25344A"/>
          <w:sz w:val="20"/>
        </w:rPr>
        <w:t>TRUE FULL-SCREEN FRAMEWORK  |  EXPECTED / ACTUAL / COST / CHOICE</w:t>
      </w:r>
    </w:p>
    <w:p>
      <w:pPr>
        <w:spacing w:after="160"/>
      </w:pPr>
      <w:r>
        <w:rPr>
          <w:rFonts w:ascii="Calibri" w:hAnsi="Calibri"/>
          <w:b w:val="0"/>
          <w:color w:val="25344A"/>
          <w:sz w:val="21"/>
        </w:rPr>
        <w:t>Reveal the words with the source, using one short sound for the first reveal rather than four.</w:t>
      </w:r>
    </w:p>
    <w:p>
      <w:pPr>
        <w:pStyle w:val="Heading2"/>
        <w:spacing w:after="60"/>
      </w:pPr>
      <w:r>
        <w:rPr>
          <w:rFonts w:ascii="Calibri" w:hAnsi="Calibri"/>
          <w:b/>
          <w:color w:val="112345"/>
          <w:sz w:val="21"/>
        </w:rPr>
        <w:t>2. 2 | ACTUAL</w:t>
      </w:r>
    </w:p>
    <w:p>
      <w:pPr>
        <w:keepNext/>
        <w:spacing w:after="80"/>
      </w:pPr>
      <w:r>
        <w:rPr>
          <w:rFonts w:ascii="Calibri" w:hAnsi="Calibri"/>
          <w:b w:val="0"/>
          <w:color w:val="25344A"/>
          <w:sz w:val="21"/>
        </w:rPr>
        <w:t>Exact spoken trigger: “You were hired for strategy and spend most of your time coordinating.”</w:t>
      </w:r>
    </w:p>
    <w:p>
      <w:pPr>
        <w:keepNext/>
        <w:spacing w:after="80"/>
      </w:pPr>
      <w:r>
        <w:rPr>
          <w:rFonts w:ascii="Calibri" w:hAnsi="Calibri"/>
          <w:b/>
          <w:color w:val="25344A"/>
          <w:sz w:val="20"/>
        </w:rPr>
        <w:t>TRUE FULL-SCREEN ILLUSTRATIVE COMPARISON  |  EXPECTED: STRATEGY / ACTUAL: COORDINATION</w:t>
      </w:r>
    </w:p>
    <w:p>
      <w:pPr>
        <w:spacing w:after="160"/>
      </w:pPr>
      <w:r>
        <w:rPr>
          <w:rFonts w:ascii="Calibri" w:hAnsi="Calibri"/>
          <w:b w:val="0"/>
          <w:color w:val="25344A"/>
          <w:sz w:val="21"/>
        </w:rPr>
        <w:t>Use this as a hypothetical from the script, not her personal history. Follow the other examples only while spoken; do not put three mismatches on screen at once.</w:t>
      </w:r>
    </w:p>
    <w:p>
      <w:pPr>
        <w:pStyle w:val="Heading2"/>
        <w:spacing w:after="60"/>
      </w:pPr>
      <w:r>
        <w:rPr>
          <w:rFonts w:ascii="Calibri" w:hAnsi="Calibri"/>
          <w:b/>
          <w:color w:val="112345"/>
          <w:sz w:val="21"/>
        </w:rPr>
        <w:t>3. THE FOUR COST LENSES  |  S3</w:t>
      </w:r>
    </w:p>
    <w:p>
      <w:pPr>
        <w:keepNext/>
        <w:spacing w:after="80"/>
      </w:pPr>
      <w:r>
        <w:rPr>
          <w:rFonts w:ascii="Calibri" w:hAnsi="Calibri"/>
          <w:b w:val="0"/>
          <w:color w:val="25344A"/>
          <w:sz w:val="21"/>
        </w:rPr>
        <w:t>Exact spoken trigger: “CAPABILITY. Is this role building judgment”</w:t>
      </w:r>
    </w:p>
    <w:p>
      <w:pPr>
        <w:keepNext/>
        <w:spacing w:after="80"/>
      </w:pPr>
      <w:r>
        <w:rPr>
          <w:rFonts w:ascii="Calibri" w:hAnsi="Calibri"/>
          <w:b/>
          <w:color w:val="25344A"/>
          <w:sz w:val="20"/>
        </w:rPr>
        <w:t>TRUE FULL-SCREEN COST LENSES  |  CAPABILITY / EVIDENCE / COMPENSATION / LIFE</w:t>
      </w:r>
    </w:p>
    <w:p>
      <w:pPr>
        <w:spacing w:after="160"/>
      </w:pPr>
      <w:r>
        <w:rPr>
          <w:rFonts w:ascii="Calibri" w:hAnsi="Calibri"/>
          <w:b w:val="0"/>
          <w:color w:val="25344A"/>
          <w:sz w:val="21"/>
        </w:rPr>
        <w:t>Activate one lens per spoken line. The question is what the change costs this viewer, not whether change is always bad.</w:t>
      </w:r>
    </w:p>
    <w:p>
      <w:pPr>
        <w:pStyle w:val="Heading2"/>
        <w:spacing w:after="60"/>
      </w:pPr>
      <w:r>
        <w:rPr>
          <w:rFonts w:ascii="Calibri" w:hAnsi="Calibri"/>
          <w:b/>
          <w:color w:val="112345"/>
          <w:sz w:val="21"/>
        </w:rPr>
        <w:t>4. 4 | CHOICE  |  S4</w:t>
      </w:r>
    </w:p>
    <w:p>
      <w:pPr>
        <w:keepNext/>
        <w:spacing w:after="80"/>
      </w:pPr>
      <w:r>
        <w:rPr>
          <w:rFonts w:ascii="Calibri" w:hAnsi="Calibri"/>
          <w:b w:val="0"/>
          <w:color w:val="25344A"/>
          <w:sz w:val="21"/>
        </w:rPr>
        <w:t>Exact spoken trigger: “When we discussed this role, I expected X.”</w:t>
      </w:r>
    </w:p>
    <w:p>
      <w:pPr>
        <w:keepNext/>
        <w:spacing w:after="80"/>
      </w:pPr>
      <w:r>
        <w:rPr>
          <w:rFonts w:ascii="Calibri" w:hAnsi="Calibri"/>
          <w:b/>
          <w:color w:val="25344A"/>
          <w:sz w:val="20"/>
        </w:rPr>
        <w:t>TRUE FULL-SCREEN CONVERSATION  |  EXPECTED X. SEEING Y. TEMPORARY OR THE ROLE NOW?</w:t>
      </w:r>
    </w:p>
    <w:p>
      <w:pPr>
        <w:spacing w:after="160"/>
      </w:pPr>
      <w:r>
        <w:rPr>
          <w:rFonts w:ascii="Calibri" w:hAnsi="Calibri"/>
          <w:b w:val="0"/>
          <w:color w:val="25344A"/>
          <w:sz w:val="21"/>
        </w:rPr>
        <w:t>The heading is editorial shorthand. Show the complete exact source question in readable states, then return for the possible responses.</w:t>
      </w:r>
    </w:p>
    <w:p>
      <w:pPr>
        <w:pStyle w:val="Heading2"/>
        <w:spacing w:after="60"/>
      </w:pPr>
      <w:r>
        <w:rPr>
          <w:rFonts w:ascii="Calibri" w:hAnsi="Calibri"/>
          <w:b/>
          <w:color w:val="112345"/>
          <w:sz w:val="21"/>
        </w:rPr>
        <w:t>5. TAKEAWAY VALUE  |  S5</w:t>
      </w:r>
    </w:p>
    <w:p>
      <w:pPr>
        <w:keepNext/>
        <w:spacing w:after="80"/>
      </w:pPr>
      <w:r>
        <w:rPr>
          <w:rFonts w:ascii="Calibri" w:hAnsi="Calibri"/>
          <w:b w:val="0"/>
          <w:color w:val="25344A"/>
          <w:sz w:val="21"/>
        </w:rPr>
        <w:t>Exact spoken trigger: “Name one real cost. Then choose one next action:”</w:t>
      </w:r>
    </w:p>
    <w:p>
      <w:pPr>
        <w:keepNext/>
        <w:spacing w:after="80"/>
      </w:pPr>
      <w:r>
        <w:rPr>
          <w:rFonts w:ascii="Calibri" w:hAnsi="Calibri"/>
          <w:b/>
          <w:color w:val="25344A"/>
          <w:sz w:val="20"/>
        </w:rPr>
        <w:t>TRUE FULL-SCREEN WORKING PAGE, THEN CAMERA  |  ONE DIFFERENCE / ONE COST / ONE NEXT ACTION</w:t>
      </w:r>
    </w:p>
    <w:p>
      <w:pPr>
        <w:spacing w:after="160"/>
      </w:pPr>
      <w:r>
        <w:rPr>
          <w:rFonts w:ascii="Calibri" w:hAnsi="Calibri"/>
          <w:b w:val="0"/>
          <w:color w:val="25344A"/>
          <w:sz w:val="21"/>
        </w:rPr>
        <w:t>Bring back the opening pair of documents with the cost and next question added. Options are clarify, negotiate, time-bound test or another option, not a universal exit instruction.</w:t>
      </w:r>
    </w:p>
    <w:p>
      <w:pPr>
        <w:pStyle w:val="Heading2"/>
        <w:spacing w:after="120"/>
      </w:pPr>
      <w:r>
        <w:rPr>
          <w:rFonts w:ascii="Calibri" w:hAnsi="Calibri"/>
          <w:b w:val="0"/>
          <w:color w:val="25344A"/>
        </w:rPr>
        <w:t>Meaningful B-roll / artifact options</w:t>
      </w:r>
    </w:p>
    <w:p>
      <w:pPr>
        <w:spacing w:after="120"/>
      </w:pPr>
      <w:r>
        <w:rPr>
          <w:rFonts w:ascii="Calibri" w:hAnsi="Calibri"/>
          <w:b w:val="0"/>
          <w:color w:val="25344A"/>
          <w:sz w:val="21"/>
        </w:rPr>
        <w:t>Two relevant illustrated inserts: the accepted/actual role cards; a clarification-conversation note. No fabricated company emails, contracts or footage suggesting an actual employer dispute.</w:t>
      </w:r>
    </w:p>
    <w:p>
      <w:pPr>
        <w:spacing w:after="0"/>
      </w:pPr>
      <w:r>
        <w:rPr>
          <w:rFonts w:ascii="Calibri" w:hAnsi="Calibri"/>
          <w:b w:val="0"/>
          <w:color w:val="4D5A6C"/>
          <w:sz w:val="18"/>
        </w:rPr>
        <w:t>Show examples as examples. Do not fabricate personal outcomes, employer records, screenshots, research results, or evidence. New visuals are proposed instructions here, not delivered slide files.</w:t>
      </w:r>
    </w:p>
    <w:p>
      <w:r>
        <w:br w:type="page"/>
      </w:r>
    </w:p>
    <w:p>
      <w:pPr>
        <w:spacing w:after="140"/>
      </w:pPr>
      <w:r>
        <w:rPr>
          <w:rFonts w:ascii="Calibri" w:hAnsi="Calibri"/>
          <w:b/>
          <w:color w:val="112345"/>
          <w:sz w:val="36"/>
        </w:rPr>
        <w:t>Sound, delivery and handoff</w:t>
      </w:r>
    </w:p>
    <w:p>
      <w:pPr>
        <w:pStyle w:val="Heading2"/>
        <w:spacing w:after="120"/>
      </w:pPr>
      <w:r>
        <w:rPr>
          <w:rFonts w:ascii="Calibri" w:hAnsi="Calibri"/>
          <w:b w:val="0"/>
          <w:color w:val="25344A"/>
        </w:rPr>
        <w:t>Sound plan</w:t>
      </w:r>
    </w:p>
    <w:p>
      <w:pPr>
        <w:spacing w:after="120"/>
      </w:pPr>
      <w:r>
        <w:rPr>
          <w:rFonts w:ascii="Calibri" w:hAnsi="Calibri"/>
          <w:b w:val="0"/>
          <w:color w:val="25344A"/>
          <w:sz w:val="21"/>
        </w:rPr>
        <w:t>Five planned accents, S1–S5, are marked on exact source passages. S1 occurs in the opening. A stinger means a brief sound cue: a quiet click, soft tap, paper movement, or restrained tonal accent. Text or a cutaway is a separate visual choice.</w:t>
      </w:r>
    </w:p>
    <w:p>
      <w:pPr>
        <w:spacing w:after="140"/>
      </w:pPr>
      <w:r>
        <w:rPr>
          <w:rFonts w:ascii="Calibri" w:hAnsi="Calibri"/>
          <w:b w:val="0"/>
          <w:color w:val="25344A"/>
          <w:sz w:val="21"/>
        </w:rPr>
        <w:t>Audition each cue under the actual voice. Keep speech clear; no alarms, loud whooshes, compulsory background music or sound on every bullet. Do not add a second effect when an existing cue already does the job. Five is an editorial plan, not a measured export count or retention guarantee.</w:t>
      </w:r>
    </w:p>
    <w:p>
      <w:pPr>
        <w:pStyle w:val="Heading2"/>
        <w:spacing w:after="120"/>
      </w:pPr>
      <w:r>
        <w:rPr>
          <w:rFonts w:ascii="Calibri" w:hAnsi="Calibri"/>
          <w:b w:val="0"/>
          <w:color w:val="25344A"/>
        </w:rPr>
        <w:t>Camera emphasis | four proposed beats</w:t>
      </w:r>
    </w:p>
    <w:p>
      <w:pPr>
        <w:spacing w:after="60"/>
      </w:pPr>
      <w:r>
        <w:rPr>
          <w:rFonts w:ascii="Calibri" w:hAnsi="Calibri"/>
          <w:b w:val="0"/>
          <w:color w:val="25344A"/>
          <w:sz w:val="21"/>
        </w:rPr>
        <w:t>• Base for the change-versus-deception distinction.</w:t>
      </w:r>
    </w:p>
    <w:p>
      <w:pPr>
        <w:spacing w:after="60"/>
      </w:pPr>
      <w:r>
        <w:rPr>
          <w:rFonts w:ascii="Calibri" w:hAnsi="Calibri"/>
          <w:b w:val="0"/>
          <w:color w:val="25344A"/>
          <w:sz w:val="21"/>
        </w:rPr>
        <w:t>• Gentle push-in at the cost of ongoing mismatch.</w:t>
      </w:r>
    </w:p>
    <w:p>
      <w:pPr>
        <w:spacing w:after="60"/>
      </w:pPr>
      <w:r>
        <w:rPr>
          <w:rFonts w:ascii="Calibri" w:hAnsi="Calibri"/>
          <w:b w:val="0"/>
          <w:color w:val="25344A"/>
          <w:sz w:val="21"/>
        </w:rPr>
        <w:t>• Return to base for constraints and options.</w:t>
      </w:r>
    </w:p>
    <w:p>
      <w:pPr>
        <w:spacing w:after="60"/>
      </w:pPr>
      <w:r>
        <w:rPr>
          <w:rFonts w:ascii="Calibri" w:hAnsi="Calibri"/>
          <w:b w:val="0"/>
          <w:color w:val="25344A"/>
          <w:sz w:val="21"/>
        </w:rPr>
        <w:t>• Final emphasis on choosing from the role that actually exists.</w:t>
      </w:r>
    </w:p>
    <w:p>
      <w:pPr>
        <w:spacing w:after="140"/>
      </w:pPr>
      <w:r>
        <w:rPr>
          <w:rFonts w:ascii="Calibri" w:hAnsi="Calibri"/>
          <w:b w:val="0"/>
          <w:color w:val="25344A"/>
          <w:sz w:val="21"/>
        </w:rPr>
        <w:t>Use gentle push-ins or a return to the base frame. Keep natural pauses. Do not make every thought-block boundary a visible hard cut. Do not remove sentences to manufacture pace.</w:t>
      </w:r>
    </w:p>
    <w:p>
      <w:pPr>
        <w:pStyle w:val="Heading2"/>
        <w:spacing w:after="120"/>
      </w:pPr>
      <w:r>
        <w:rPr>
          <w:rFonts w:ascii="Calibri" w:hAnsi="Calibri"/>
          <w:b w:val="0"/>
          <w:color w:val="25344A"/>
        </w:rPr>
        <w:t>Public boundary to preserve</w:t>
      </w:r>
    </w:p>
    <w:p>
      <w:pPr>
        <w:spacing w:after="140"/>
      </w:pPr>
      <w:r>
        <w:rPr>
          <w:rFonts w:ascii="Calibri" w:hAnsi="Calibri"/>
          <w:b w:val="0"/>
          <w:color w:val="25344A"/>
          <w:sz w:val="21"/>
        </w:rPr>
        <w:t>Do not call all role changes deception. Preserve normal evolution, temporary conditions, positive changes and life/market constraints. This is a decision tool, not legal advice or a command to leave.</w:t>
      </w:r>
    </w:p>
    <w:p>
      <w:pPr>
        <w:pStyle w:val="Heading2"/>
        <w:spacing w:after="120"/>
      </w:pPr>
      <w:r>
        <w:rPr>
          <w:rFonts w:ascii="Calibri" w:hAnsi="Calibri"/>
          <w:b w:val="0"/>
          <w:color w:val="25344A"/>
        </w:rPr>
        <w:t>Final sequence and one primary ask</w:t>
      </w:r>
    </w:p>
    <w:p>
      <w:pPr>
        <w:spacing w:after="100"/>
      </w:pPr>
      <w:r>
        <w:rPr>
          <w:rFonts w:ascii="Calibri" w:hAnsi="Calibri"/>
          <w:b w:val="0"/>
          <w:color w:val="25344A"/>
          <w:sz w:val="21"/>
        </w:rPr>
        <w:t>Keep the source TAKEAWAY VALUE, STORY LOOP PAYOFF, CLOSE and CONFIDENCE / VIEWER OUTCOME in order. They already carry the useful outcome; do not add another outcome speech or repeated ending.</w:t>
      </w:r>
    </w:p>
    <w:p>
      <w:pPr>
        <w:spacing w:after="100"/>
      </w:pPr>
      <w:r>
        <w:rPr>
          <w:rFonts w:ascii="Calibri" w:hAnsi="Calibri"/>
          <w:b w:val="0"/>
          <w:color w:val="25344A"/>
          <w:sz w:val="21"/>
        </w:rPr>
        <w:t>Exact Watch Next: “And if the role is depending on you more and more without building anything new in you, watch “If Your Company Needs You but Won’t Grow You” next.”</w:t>
      </w:r>
    </w:p>
    <w:p>
      <w:pPr>
        <w:spacing w:after="120"/>
      </w:pPr>
      <w:r>
        <w:rPr>
          <w:rFonts w:ascii="Calibri" w:hAnsi="Calibri"/>
          <w:b w:val="0"/>
          <w:color w:val="25344A"/>
          <w:sz w:val="21"/>
        </w:rPr>
        <w:t>Switch to TRUE FULL-SCREEN for Watch Next from the start of that passage. The final Watch Next graphic is the last frame. Never return to camera. Verify the destination’s live status before upload; do not invent a link or silently substitute the spoken destination.</w:t>
      </w:r>
    </w:p>
    <w:p>
      <w:pPr>
        <w:spacing w:after="120"/>
      </w:pPr>
      <w:r>
        <w:rPr>
          <w:rFonts w:ascii="Calibri" w:hAnsi="Calibri"/>
          <w:b w:val="0"/>
          <w:color w:val="25344A"/>
          <w:sz w:val="20"/>
        </w:rPr>
        <w:t>Career Decision Evidence Check; one description-only resource. Intended Watch Next remains NEW PUBLIC V5.</w:t>
      </w:r>
    </w:p>
    <w:p>
      <w:pPr>
        <w:pStyle w:val="Heading2"/>
        <w:spacing w:after="120"/>
      </w:pPr>
      <w:r>
        <w:rPr>
          <w:rFonts w:ascii="Calibri" w:hAnsi="Calibri"/>
          <w:b w:val="0"/>
          <w:color w:val="25344A"/>
        </w:rPr>
        <w:t>Production guardrails</w:t>
      </w:r>
    </w:p>
    <w:p>
      <w:pPr>
        <w:spacing w:after="120"/>
      </w:pPr>
      <w:r>
        <w:rPr>
          <w:rFonts w:ascii="Calibri" w:hAnsi="Calibri"/>
          <w:b w:val="0"/>
          <w:color w:val="25344A"/>
          <w:sz w:val="20"/>
        </w:rPr>
        <w:t>16:9; 1920 × 1080 minimum. Palette: navy #112345, cream #F5F1E8, muted gold #C9A84C, warm yellow #F2C44C. Short editorial hook text is allowed over camera. Substantive teaching, comparisons and B-roll are true full-screen. No burned-in long-form transcript captions; final SRT and chapters follow the actual edit. One brief, quiet Subscribe cue after value, not another spoken ask.</w:t>
      </w:r>
    </w:p>
    <w:p>
      <w:pPr>
        <w:spacing w:after="120"/>
      </w:pPr>
      <w:r>
        <w:rPr>
          <w:rFonts w:ascii="Calibri" w:hAnsi="Calibri"/>
          <w:b w:val="0"/>
          <w:color w:val="25344A"/>
          <w:sz w:val="20"/>
        </w:rPr>
        <w:t>Keep the existing three-candidate Shorts bank; this handoff does not create new Shorts. Audit any extract against the current source before reuse. Re-anchor only changed source triggers and update only affected graphics, metadata, cue maps and dependent documents. Historical packages stay untouched.</w:t>
      </w:r>
    </w:p>
    <w:p>
      <w:pPr>
        <w:spacing w:after="0"/>
      </w:pPr>
      <w:r>
        <w:rPr>
          <w:rFonts w:ascii="Calibri" w:hAnsi="Calibri"/>
          <w:b w:val="0"/>
          <w:color w:val="4D5A6C"/>
          <w:sz w:val="17"/>
        </w:rPr>
        <w:t>Source: latest September 16 BEAST MODE master, the curiosity/outcome companion brief, and Temidayo’s current early-edit clarification. All quoted trigger excerpts occur in the current script. Instructions are proposed editing choices, not a certification of rendered assets or the finished video.</w:t>
      </w:r>
    </w:p>
    <w:sectPr w:rsidR="00FC693F" w:rsidRPr="0006063C" w:rsidSect="00034616">
      <w:headerReference w:type="default" r:id="rId9"/>
      <w:footerReference w:type="default" r:id="rId10"/>
      <w:pgSz w:w="12240" w:h="15840"/>
      <w:pgMar w:top="893" w:right="1037" w:bottom="864" w:left="1037"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D5A6C"/>
        <w:sz w:val="16"/>
      </w:rPr>
      <w:t xml:space="preserve">V11  •  Early-curiosity editing brief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4D5A6C"/>
        <w:sz w:val="16"/>
      </w:rPr>
      <w:t>CAPABILITY FORMATION   |   NEW PUBLIC V11   |   EARLY-CURIOSITY EDITING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Calibri" w:hAnsi="Calibri"/>
      <w:color w:val="25344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12345"/>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12345"/>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1234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V11 | Early-curiosity editing brief | What to Do When Your New Job Isn’t the Job You Accepted</dc:title>
  <dc:subject>September 16, 2026 source-controlled recording and early-edit handoff</dc:subject>
  <dc:creator>Temidayo Afonja</dc:creator>
  <cp:keywords/>
  <dc:description>generated by python-docx</dc:description>
  <cp:lastModifiedBy/>
  <cp:revision>1</cp:revision>
  <dcterms:created xsi:type="dcterms:W3CDTF">2013-12-23T23:15:00Z</dcterms:created>
  <dcterms:modified xsi:type="dcterms:W3CDTF">2013-12-23T23:15:00Z</dcterms:modified>
  <cp:category/>
</cp:coreProperties>
</file>