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VIDEO 3 SHORT</w:t>
      </w:r>
    </w:p>
    <w:p>
      <w:pPr>
        <w:spacing w:before="0" w:after="160" w:line="264" w:lineRule="auto"/>
      </w:pPr>
      <w:r>
        <w:rPr>
          <w:b/>
          <w:i w:val="0"/>
          <w:color w:val="0F2346"/>
          <w:sz w:val="40"/>
        </w:rPr>
        <w:t>SHORT 1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Role:  Recognition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Verbal hook:  “The day after you quit is a bad time to start reconstructing your career.”</w:t>
      </w:r>
    </w:p>
    <w:p>
      <w:pPr>
        <w:spacing w:before="0" w:after="320" w:line="312" w:lineRule="auto"/>
        <w:keepLines w:val="1"/>
      </w:pPr>
      <w:r>
        <w:rPr>
          <w:b w:val="0"/>
          <w:i w:val="0"/>
          <w:color w:val="5A6B82"/>
          <w:sz w:val="22"/>
        </w:rPr>
        <w:t>Related long-form:  3 Things to Do Before Quitting Your Job</w:t>
      </w:r>
    </w:p>
    <w:p>
      <w:pPr>
        <w:spacing w:before="400" w:after="160" w:line="312" w:lineRule="auto"/>
        <w:keepLines w:val="1"/>
        <w:keepNext w:val="1"/>
      </w:pPr>
      <w:r>
        <w:rPr>
          <w:b/>
          <w:i w:val="0"/>
          <w:color w:val="0F2346"/>
          <w:sz w:val="28"/>
        </w:rPr>
        <w:t>RECORDING COPY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day after you quit is a bad time to start reconstructing your career.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While you are still inside the role, you remember why a project mattered, what changed, what you actually decided and who saw the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Later, some of that context gets surprisingly hard to retrieve.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before you leave, write down the evidence you are permitted to keep and enough context to explain your contribution in your own words.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are not taking company material.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are making sure your own experience does not become harder to explain simply because you changed employers.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