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pPr>
      <w:r>
        <w:rPr>
          <w:b/>
          <w:i w:val="0"/>
          <w:color w:val="9B2C10"/>
          <w:sz w:val="44"/>
        </w:rPr>
        <w:t>EDITOR ONLY</w:t>
      </w:r>
    </w:p>
    <w:p>
      <w:pPr>
        <w:spacing w:before="0" w:after="20" w:line="269" w:lineRule="auto"/>
      </w:pPr>
      <w:r>
        <w:rPr>
          <w:b/>
          <w:i w:val="0"/>
          <w:caps/>
          <w:color w:val="8A6D1E"/>
          <w:sz w:val="24"/>
        </w:rPr>
        <w:t>VIDEO 5  ·  v3.0</w:t>
      </w:r>
    </w:p>
    <w:p>
      <w:pPr>
        <w:spacing w:before="0" w:after="60" w:line="264" w:lineRule="auto"/>
      </w:pPr>
      <w:r>
        <w:rPr>
          <w:b/>
          <w:i w:val="0"/>
          <w:color w:val="0F2346"/>
          <w:sz w:val="40"/>
        </w:rPr>
        <w:t>Should I Make an Internal Move? 3 Questions to Decide</w:t>
      </w:r>
    </w:p>
    <w:p>
      <w:pPr>
        <w:spacing w:before="0" w:after="160" w:line="269" w:lineRule="auto"/>
        <w:shd w:val="clear" w:fill="F3F0E8"/>
      </w:pPr>
      <w:r>
        <w:rPr>
          <w:b w:val="0"/>
          <w:i/>
          <w:color w:val="5A6B82"/>
          <w:sz w:val="22"/>
        </w:rPr>
        <w:t>This document is for the editor. It is NOT Temidayo's teleprompter and must not be placed on the recording screen.</w:t>
      </w:r>
    </w:p>
    <w:p>
      <w:pPr>
        <w:spacing w:before="140" w:after="80" w:line="269" w:lineRule="auto"/>
        <w:keepLines w:val="1"/>
        <w:keepNext w:val="1"/>
      </w:pPr>
      <w:r>
        <w:rPr>
          <w:b/>
          <w:i w:val="0"/>
          <w:color w:val="0F2346"/>
          <w:sz w:val="28"/>
        </w:rPr>
        <w:t>1.  Locked metadata</w:t>
      </w:r>
    </w:p>
    <w:p>
      <w:pPr>
        <w:spacing w:before="0" w:after="50" w:line="269" w:lineRule="auto"/>
        <w:keepLines w:val="1"/>
      </w:pPr>
      <w:r>
        <w:rPr>
          <w:b w:val="0"/>
          <w:i w:val="0"/>
          <w:sz w:val="22"/>
        </w:rPr>
        <w:t>Title:                   Should I Make an Internal Move? 3 Questions to Decide</w:t>
      </w:r>
    </w:p>
    <w:p>
      <w:pPr>
        <w:spacing w:before="0" w:after="50" w:line="269" w:lineRule="auto"/>
        <w:keepLines w:val="1"/>
      </w:pPr>
      <w:r>
        <w:rPr>
          <w:b w:val="0"/>
          <w:i w:val="0"/>
          <w:sz w:val="22"/>
        </w:rPr>
        <w:t>Thumbnail:               YOU MAY NOT NEED TO LEAVE</w:t>
      </w:r>
    </w:p>
    <w:p>
      <w:pPr>
        <w:spacing w:before="0" w:after="50" w:line="269" w:lineRule="auto"/>
        <w:keepLines w:val="1"/>
      </w:pPr>
      <w:r>
        <w:rPr>
          <w:b w:val="0"/>
          <w:i w:val="0"/>
          <w:sz w:val="22"/>
        </w:rPr>
        <w:t>Primary search phrase:   should I make an internal move</w:t>
      </w:r>
    </w:p>
    <w:p>
      <w:pPr>
        <w:spacing w:before="0" w:after="50" w:line="269" w:lineRule="auto"/>
        <w:keepLines w:val="1"/>
      </w:pPr>
      <w:r>
        <w:rPr>
          <w:b w:val="0"/>
          <w:i w:val="0"/>
          <w:sz w:val="22"/>
        </w:rPr>
        <w:t>Format:                  Searchable decision + organizational mechanics</w:t>
      </w:r>
    </w:p>
    <w:p>
      <w:pPr>
        <w:spacing w:before="0" w:after="50" w:line="269" w:lineRule="auto"/>
        <w:keepLines w:val="1"/>
      </w:pPr>
      <w:r>
        <w:rPr>
          <w:b w:val="0"/>
          <w:i w:val="0"/>
          <w:sz w:val="22"/>
        </w:rPr>
        <w:t>Primary CTA:             Career Decision Evidence Check</w:t>
      </w:r>
    </w:p>
    <w:p>
      <w:pPr>
        <w:spacing w:before="0" w:after="50" w:line="269" w:lineRule="auto"/>
        <w:keepLines w:val="1"/>
      </w:pPr>
      <w:r>
        <w:rPr>
          <w:b w:val="0"/>
          <w:i w:val="0"/>
          <w:sz w:val="22"/>
        </w:rPr>
        <w:t>CTA URL:                 https://temidayoafonja.com/career-decisions</w:t>
      </w:r>
    </w:p>
    <w:p>
      <w:pPr>
        <w:spacing w:before="0" w:after="50" w:line="269" w:lineRule="auto"/>
        <w:keepLines w:val="1"/>
      </w:pPr>
      <w:r>
        <w:rPr>
          <w:b w:val="0"/>
          <w:i w:val="0"/>
          <w:sz w:val="22"/>
        </w:rPr>
        <w:t>Watch next:              Video 6 — Are You Growing—or Just Being Given More Work?</w:t>
      </w:r>
    </w:p>
    <w:p>
      <w:pPr>
        <w:spacing w:before="0" w:after="50" w:line="269" w:lineRule="auto"/>
        <w:keepLines w:val="1"/>
      </w:pPr>
      <w:r>
        <w:rPr>
          <w:b w:val="0"/>
          <w:i w:val="0"/>
          <w:sz w:val="22"/>
        </w:rPr>
        <w:t>Core distinction:        MOVEMENT IS NOT AUTOMATICALLY GROWTH.</w:t>
      </w:r>
    </w:p>
    <w:p>
      <w:pPr>
        <w:spacing w:before="0" w:after="50" w:line="269" w:lineRule="auto"/>
        <w:keepLines w:val="1"/>
      </w:pPr>
      <w:r>
        <w:rPr>
          <w:b w:val="0"/>
          <w:i w:val="0"/>
          <w:sz w:val="22"/>
        </w:rPr>
        <w:t>Memory device:           The three questions. No acronym, no second framework.</w:t>
      </w:r>
    </w:p>
    <w:p>
      <w:pPr>
        <w:spacing w:before="80" w:after="100" w:line="269" w:lineRule="auto"/>
        <w:shd w:val="clear" w:fill="F3F0E8"/>
        <w:keepLines w:val="1"/>
      </w:pPr>
      <w:r>
        <w:rPr>
          <w:b/>
          <w:i w:val="0"/>
          <w:color w:val="0F2346"/>
          <w:sz w:val="22"/>
        </w:rPr>
        <w:t>CTA PRODUCTION GATE: SATISFIED. The Career Decision Evidence Check page is live and the core production journey has been verified. Video 5 is NOT blocked on this CTA page. One normal signed-out link check is retained in the final upload SOP.</w:t>
      </w:r>
    </w:p>
    <w:p>
      <w:pPr>
        <w:spacing w:before="0" w:after="80" w:line="269" w:lineRule="auto"/>
        <w:keepLines w:val="1"/>
      </w:pPr>
      <w:r>
        <w:rPr>
          <w:b/>
          <w:i w:val="0"/>
          <w:color w:val="9B2C10"/>
          <w:sz w:val="22"/>
        </w:rPr>
        <w:t>Do not add CAR — it belongs to Video 6. Do not add the Career Evidence 3 Cs — they belong to the evidence method, not this decision video.</w:t>
      </w:r>
    </w:p>
    <w:p>
      <w:pPr>
        <w:spacing w:before="140" w:after="80" w:line="269" w:lineRule="auto"/>
        <w:keepLines w:val="1"/>
        <w:keepNext w:val="1"/>
      </w:pPr>
      <w:r>
        <w:rPr>
          <w:b/>
          <w:i w:val="0"/>
          <w:color w:val="0F2346"/>
          <w:sz w:val="28"/>
        </w:rPr>
        <w:t>2.  First 30 seconds — H.I.T. map</w:t>
      </w:r>
    </w:p>
    <w:p>
      <w:pPr>
        <w:spacing w:before="0" w:after="80" w:line="269" w:lineRule="auto"/>
      </w:pPr>
      <w:r>
        <w:rPr>
          <w:b w:val="0"/>
          <w:i w:val="0"/>
          <w:sz w:val="22"/>
        </w:rPr>
        <w:t>H = Hook. I = Interest. T = Trust. The opening must work as one audiovisual unit: immediate conversational hook, meaningful visual interest, relevant lived proof, and a clear viewer payoff by 30 seconds. No generic welcome before the promise. No title card first.</w:t>
      </w:r>
    </w:p>
    <w:p>
      <w:pPr>
        <w:spacing w:before="100" w:after="50" w:line="269" w:lineRule="auto"/>
        <w:keepLines w:val="1"/>
        <w:keepNext w:val="1"/>
      </w:pPr>
      <w:r>
        <w:rPr>
          <w:b/>
          <w:i w:val="0"/>
          <w:color w:val="0F2346"/>
          <w:sz w:val="23"/>
        </w:rPr>
        <w:t>0:00–0:05</w:t>
      </w:r>
    </w:p>
    <w:p>
      <w:pPr>
        <w:spacing w:before="0" w:after="80" w:line="269" w:lineRule="auto"/>
        <w:shd w:val="clear" w:fill="F3F0E8"/>
      </w:pPr>
      <w:r>
        <w:rPr>
          <w:b w:val="0"/>
          <w:i/>
          <w:color w:val="5A6B82"/>
          <w:sz w:val="21"/>
        </w:rPr>
        <w:t>Spoken anchor:  “You may not need to leave your company.”</w:t>
      </w:r>
    </w:p>
    <w:p>
      <w:pPr>
        <w:spacing w:before="0" w:after="60" w:line="269" w:lineRule="auto"/>
        <w:keepLines w:val="1"/>
      </w:pPr>
      <w:r>
        <w:rPr>
          <w:b/>
          <w:i w:val="0"/>
          <w:color w:val="8A6D1E"/>
          <w:sz w:val="22"/>
        </w:rPr>
        <w:t>H = HOOK</w:t>
      </w:r>
    </w:p>
    <w:p>
      <w:pPr>
        <w:spacing w:before="0" w:after="50" w:line="269" w:lineRule="auto"/>
        <w:keepLines w:val="1"/>
      </w:pPr>
      <w:r>
        <w:rPr>
          <w:b w:val="0"/>
          <w:i w:val="0"/>
          <w:sz w:val="22"/>
        </w:rPr>
        <w:t>Visual: direct to camera.</w:t>
      </w:r>
    </w:p>
    <w:p>
      <w:pPr>
        <w:spacing w:before="0" w:after="50" w:line="269" w:lineRule="auto"/>
        <w:keepLines w:val="1"/>
      </w:pPr>
      <w:r>
        <w:rPr>
          <w:b w:val="0"/>
          <w:i w:val="0"/>
          <w:sz w:val="22"/>
        </w:rPr>
        <w:t>On-screen text:  YOU MAY NOT NEED TO LEAVE</w:t>
      </w:r>
    </w:p>
    <w:p>
      <w:pPr>
        <w:spacing w:before="0" w:after="50" w:line="269" w:lineRule="auto"/>
        <w:keepLines w:val="1"/>
      </w:pPr>
      <w:r>
        <w:rPr>
          <w:b w:val="0"/>
          <w:i w:val="0"/>
          <w:sz w:val="22"/>
        </w:rPr>
        <w:t>No title card before this.</w:t>
      </w:r>
    </w:p>
    <w:p>
      <w:pPr>
        <w:spacing w:before="100" w:after="50" w:line="269" w:lineRule="auto"/>
        <w:keepLines w:val="1"/>
        <w:keepNext w:val="1"/>
      </w:pPr>
      <w:r>
        <w:rPr>
          <w:b/>
          <w:i w:val="0"/>
          <w:color w:val="0F2346"/>
          <w:sz w:val="23"/>
        </w:rPr>
        <w:t>0:05–0:10</w:t>
      </w:r>
    </w:p>
    <w:p>
      <w:pPr>
        <w:spacing w:before="0" w:after="80" w:line="269" w:lineRule="auto"/>
        <w:shd w:val="clear" w:fill="F3F0E8"/>
      </w:pPr>
      <w:r>
        <w:rPr>
          <w:b w:val="0"/>
          <w:i/>
          <w:color w:val="5A6B82"/>
          <w:sz w:val="21"/>
        </w:rPr>
        <w:t>Spoken anchor:  “You may need access to work the company has not trusted you with yet.”</w:t>
      </w:r>
    </w:p>
    <w:p>
      <w:pPr>
        <w:spacing w:before="0" w:after="60" w:line="269" w:lineRule="auto"/>
        <w:keepLines w:val="1"/>
      </w:pPr>
      <w:r>
        <w:rPr>
          <w:b/>
          <w:i w:val="0"/>
          <w:color w:val="8A6D1E"/>
          <w:sz w:val="22"/>
        </w:rPr>
        <w:t>I = INTEREST</w:t>
      </w:r>
    </w:p>
    <w:p>
      <w:pPr>
        <w:spacing w:before="0" w:after="50" w:line="269" w:lineRule="auto"/>
        <w:keepLines w:val="1"/>
      </w:pPr>
      <w:r>
        <w:rPr>
          <w:b w:val="0"/>
          <w:i w:val="0"/>
          <w:sz w:val="22"/>
        </w:rPr>
        <w:t>On-screen:  SAME COMPANY  /  DIFFERENT WORK</w:t>
      </w:r>
    </w:p>
    <w:p>
      <w:pPr>
        <w:spacing w:before="0" w:after="50" w:line="269" w:lineRule="auto"/>
        <w:keepLines w:val="1"/>
      </w:pPr>
      <w:r>
        <w:rPr>
          <w:b w:val="0"/>
          <w:i w:val="0"/>
          <w:sz w:val="22"/>
        </w:rPr>
        <w:t>Keep it restrained. No office-building stock footage. No transfer arrows.</w:t>
      </w:r>
    </w:p>
    <w:p>
      <w:pPr>
        <w:spacing w:before="100" w:after="50" w:line="269" w:lineRule="auto"/>
        <w:keepLines w:val="1"/>
        <w:keepNext w:val="1"/>
      </w:pPr>
      <w:r>
        <w:rPr>
          <w:b/>
          <w:i w:val="0"/>
          <w:color w:val="0F2346"/>
          <w:sz w:val="23"/>
        </w:rPr>
        <w:t>0:10–0:21</w:t>
      </w:r>
    </w:p>
    <w:p>
      <w:pPr>
        <w:spacing w:before="0" w:after="80" w:line="269" w:lineRule="auto"/>
        <w:shd w:val="clear" w:fill="F3F0E8"/>
      </w:pPr>
      <w:r>
        <w:rPr>
          <w:b w:val="0"/>
          <w:i/>
          <w:color w:val="5A6B82"/>
          <w:sz w:val="21"/>
        </w:rPr>
        <w:t>Spoken anchor:  “About six months after I returned from maternity leave in one chapter of my career, my scope expanded beyond the original box of the role.”</w:t>
      </w:r>
    </w:p>
    <w:p>
      <w:pPr>
        <w:spacing w:before="0" w:after="60" w:line="269" w:lineRule="auto"/>
        <w:keepLines w:val="1"/>
      </w:pPr>
      <w:r>
        <w:rPr>
          <w:b/>
          <w:i w:val="0"/>
          <w:color w:val="8A6D1E"/>
          <w:sz w:val="22"/>
        </w:rPr>
        <w:t>T = TRUST</w:t>
      </w:r>
    </w:p>
    <w:p>
      <w:pPr>
        <w:spacing w:before="0" w:after="50" w:line="269" w:lineRule="auto"/>
        <w:keepLines w:val="1"/>
      </w:pPr>
      <w:r>
        <w:rPr>
          <w:b w:val="0"/>
          <w:i w:val="0"/>
          <w:sz w:val="22"/>
        </w:rPr>
        <w:t>Visual progression:  MORE WORK?  then  DIFFERENT WORK</w:t>
      </w:r>
    </w:p>
    <w:p>
      <w:pPr>
        <w:spacing w:before="0" w:after="50" w:line="269" w:lineRule="auto"/>
        <w:keepLines w:val="1"/>
      </w:pPr>
      <w:r>
        <w:rPr>
          <w:b w:val="0"/>
          <w:i w:val="0"/>
          <w:sz w:val="22"/>
        </w:rPr>
        <w:t>The proof is Temidayo saying what actually happened. Keep her visible.</w:t>
      </w:r>
    </w:p>
    <w:p>
      <w:pPr>
        <w:spacing w:before="0" w:after="50" w:line="269" w:lineRule="auto"/>
        <w:keepLines w:val="1"/>
      </w:pPr>
      <w:r>
        <w:rPr>
          <w:b w:val="0"/>
          <w:i w:val="0"/>
          <w:sz w:val="22"/>
        </w:rPr>
        <w:t>Do not use family or maternity stock imagery. Do not dramatize the maternity reference.</w:t>
      </w:r>
    </w:p>
    <w:p>
      <w:pPr>
        <w:spacing w:before="100" w:after="50" w:line="269" w:lineRule="auto"/>
        <w:keepLines w:val="1"/>
        <w:keepNext w:val="1"/>
      </w:pPr>
      <w:r>
        <w:rPr>
          <w:b/>
          <w:i w:val="0"/>
          <w:color w:val="0F2346"/>
          <w:sz w:val="23"/>
        </w:rPr>
        <w:t>0:21–0:30</w:t>
      </w:r>
    </w:p>
    <w:p>
      <w:pPr>
        <w:spacing w:before="0" w:after="80" w:line="269" w:lineRule="auto"/>
        <w:shd w:val="clear" w:fill="F3F0E8"/>
      </w:pPr>
      <w:r>
        <w:rPr>
          <w:b w:val="0"/>
          <w:i/>
          <w:color w:val="5A6B82"/>
          <w:sz w:val="21"/>
        </w:rPr>
        <w:t>Spoken anchor:  “Before you accept an internal move, ask three questions…”</w:t>
      </w:r>
    </w:p>
    <w:p>
      <w:pPr>
        <w:spacing w:before="0" w:after="60" w:line="269" w:lineRule="auto"/>
        <w:keepLines w:val="1"/>
      </w:pPr>
      <w:r>
        <w:rPr>
          <w:b/>
          <w:i w:val="0"/>
          <w:color w:val="8A6D1E"/>
          <w:sz w:val="22"/>
        </w:rPr>
        <w:t>PAYOFF</w:t>
      </w:r>
    </w:p>
    <w:p>
      <w:pPr>
        <w:spacing w:before="0" w:after="50" w:line="269" w:lineRule="auto"/>
        <w:keepLines w:val="1"/>
      </w:pPr>
      <w:r>
        <w:rPr>
          <w:b w:val="0"/>
          <w:i w:val="0"/>
          <w:sz w:val="22"/>
        </w:rPr>
        <w:t>Progressively reveal:</w:t>
      </w:r>
    </w:p>
    <w:p>
      <w:pPr>
        <w:spacing w:before="0" w:after="50" w:line="269" w:lineRule="auto"/>
        <w:keepLines w:val="1"/>
      </w:pPr>
      <w:r>
        <w:rPr>
          <w:b w:val="0"/>
          <w:i w:val="0"/>
          <w:sz w:val="22"/>
        </w:rPr>
        <w:t xml:space="preserve">     WILL THE WORK CHANGE?</w:t>
      </w:r>
    </w:p>
    <w:p>
      <w:pPr>
        <w:spacing w:before="0" w:after="50" w:line="269" w:lineRule="auto"/>
        <w:keepLines w:val="1"/>
      </w:pPr>
      <w:r>
        <w:rPr>
          <w:b w:val="0"/>
          <w:i w:val="0"/>
          <w:sz w:val="22"/>
        </w:rPr>
        <w:t xml:space="preserve">     WILL YOUR JUDGMENT EXPAND?</w:t>
      </w:r>
    </w:p>
    <w:p>
      <w:pPr>
        <w:spacing w:before="0" w:after="50" w:line="269" w:lineRule="auto"/>
        <w:keepLines w:val="1"/>
      </w:pPr>
      <w:r>
        <w:rPr>
          <w:b w:val="0"/>
          <w:i w:val="0"/>
          <w:sz w:val="22"/>
        </w:rPr>
        <w:t xml:space="preserve">     WILL THE EVIDENCE TRAVEL?</w:t>
      </w:r>
    </w:p>
    <w:p>
      <w:pPr>
        <w:spacing w:before="0" w:after="50" w:line="269" w:lineRule="auto"/>
        <w:keepLines w:val="1"/>
      </w:pPr>
      <w:r>
        <w:rPr>
          <w:b w:val="0"/>
          <w:i w:val="0"/>
          <w:sz w:val="22"/>
        </w:rPr>
        <w:t>Viewer payoff is clear by 30 seconds. Then move into the deck.</w:t>
      </w:r>
    </w:p>
    <w:p>
      <w:pPr>
        <w:spacing w:before="140" w:after="80" w:line="269" w:lineRule="auto"/>
        <w:keepLines w:val="1"/>
        <w:keepNext w:val="1"/>
      </w:pPr>
      <w:r>
        <w:rPr>
          <w:b/>
          <w:i w:val="0"/>
          <w:color w:val="0F2346"/>
          <w:sz w:val="28"/>
        </w:rPr>
        <w:t>3.  The organizational-mechanics purpose of this video</w:t>
      </w:r>
    </w:p>
    <w:p>
      <w:pPr>
        <w:spacing w:before="0" w:after="80" w:line="269" w:lineRule="auto"/>
      </w:pPr>
      <w:r>
        <w:rPr>
          <w:b w:val="0"/>
          <w:i w:val="0"/>
          <w:sz w:val="22"/>
        </w:rPr>
        <w:t>This video must not feel like “three tips for getting an internal job.” It should feel like: “Temidayo is teaching me how to read what an internal opportunity is actually designed to give me.”</w:t>
      </w:r>
    </w:p>
    <w:p>
      <w:pPr>
        <w:spacing w:before="0" w:after="100" w:line="269" w:lineRule="auto"/>
      </w:pPr>
      <w:r>
        <w:rPr>
          <w:b w:val="0"/>
          <w:i w:val="0"/>
          <w:sz w:val="22"/>
        </w:rPr>
        <w:t>Use the employee + organization dual perspective throughout. An internal move is not only a decision the employee makes; it is also a decision about what work, context, judgment and ownership the organization is willing to entrust to that person. Do not turn the organizational layer into HR jargon or enterprise commentary that leaves the viewer behind.</w:t>
      </w:r>
    </w:p>
    <w:p>
      <w:pPr>
        <w:spacing w:before="100" w:after="50" w:line="269" w:lineRule="auto"/>
        <w:keepLines w:val="1"/>
        <w:keepNext w:val="1"/>
      </w:pPr>
      <w:r>
        <w:rPr>
          <w:b/>
          <w:i w:val="0"/>
          <w:color w:val="0F2346"/>
          <w:sz w:val="23"/>
        </w:rPr>
        <w:t>Lines to let breathe</w:t>
      </w:r>
    </w:p>
    <w:p>
      <w:pPr>
        <w:spacing w:before="0" w:after="60" w:line="269" w:lineRule="auto"/>
        <w:keepLines w:val="1"/>
      </w:pPr>
      <w:r>
        <w:rPr>
          <w:b w:val="0"/>
          <w:i w:val="0"/>
          <w:sz w:val="21"/>
        </w:rPr>
        <w:t>“An internal move is not only a decision you make. It is also a decision the organization is making about what it is willing to trust you to do next.”</w:t>
      </w:r>
    </w:p>
    <w:p>
      <w:pPr>
        <w:spacing w:before="0" w:after="60" w:line="269" w:lineRule="auto"/>
        <w:keepLines w:val="1"/>
      </w:pPr>
      <w:r>
        <w:rPr>
          <w:b w:val="0"/>
          <w:i w:val="0"/>
          <w:sz w:val="21"/>
        </w:rPr>
        <w:t>“The same people who know your strengths may also know you too well inside one box.”</w:t>
      </w:r>
    </w:p>
    <w:p>
      <w:pPr>
        <w:spacing w:before="0" w:after="60" w:line="269" w:lineRule="auto"/>
        <w:keepLines w:val="1"/>
      </w:pPr>
      <w:r>
        <w:rPr>
          <w:b w:val="0"/>
          <w:i w:val="0"/>
          <w:sz w:val="21"/>
        </w:rPr>
        <w:t>“Sometimes the organizational problem is not your capability. It is recognition.”</w:t>
      </w:r>
    </w:p>
    <w:p>
      <w:pPr>
        <w:spacing w:before="0" w:after="60" w:line="269" w:lineRule="auto"/>
        <w:keepLines w:val="1"/>
      </w:pPr>
      <w:r>
        <w:rPr>
          <w:b w:val="0"/>
          <w:i w:val="0"/>
          <w:sz w:val="21"/>
        </w:rPr>
        <w:t>“A stretch opportunity is developmental when the person is trusted with more judgment, not simply handed more volume.”</w:t>
      </w:r>
    </w:p>
    <w:p>
      <w:pPr>
        <w:spacing w:before="0" w:after="60" w:line="269" w:lineRule="auto"/>
        <w:keepLines w:val="1"/>
      </w:pPr>
      <w:r>
        <w:rPr>
          <w:b w:val="0"/>
          <w:i w:val="0"/>
          <w:sz w:val="21"/>
        </w:rPr>
        <w:t>“An internal move can fail even when the person is capable.”</w:t>
      </w:r>
    </w:p>
    <w:p>
      <w:pPr>
        <w:spacing w:before="0" w:after="80" w:line="269" w:lineRule="auto"/>
        <w:shd w:val="clear" w:fill="F3F0E8"/>
        <w:keepLines w:val="1"/>
      </w:pPr>
      <w:r>
        <w:rPr>
          <w:b/>
          <w:i w:val="0"/>
          <w:color w:val="9B2C10"/>
          <w:sz w:val="22"/>
        </w:rPr>
        <w:t>Do not convert these into motivational quote cards. Restrained text emphasis only, where it is genuinely useful.</w:t>
      </w:r>
    </w:p>
    <w:p>
      <w:pPr>
        <w:spacing w:before="140" w:after="80" w:line="269" w:lineRule="auto"/>
        <w:keepLines w:val="1"/>
        <w:keepNext w:val="1"/>
      </w:pPr>
      <w:r>
        <w:rPr>
          <w:b/>
          <w:i w:val="0"/>
          <w:color w:val="0F2346"/>
          <w:sz w:val="28"/>
        </w:rPr>
        <w:t>4.  Slide marker → actual slide number</w:t>
      </w:r>
    </w:p>
    <w:p>
      <w:pPr>
        <w:spacing w:before="0" w:after="80" w:line="269" w:lineRule="auto"/>
      </w:pPr>
      <w:r>
        <w:rPr>
          <w:b w:val="0"/>
          <w:i w:val="0"/>
          <w:sz w:val="22"/>
        </w:rPr>
        <w:t>The teleprompter carries twelve slide markers. They map to the existing twelve-slide deck in order, marker 1 to slide 1 through marker 12 to slide 12. Do not add, delete, redesign or reorder slides.</w:t>
      </w:r>
    </w:p>
    <w:p>
      <w:pPr>
        <w:spacing w:before="0" w:after="30" w:line="269" w:lineRule="auto"/>
        <w:keepLines w:val="1"/>
      </w:pPr>
      <w:r>
        <w:rPr>
          <w:b w:val="0"/>
          <w:i w:val="0"/>
          <w:sz w:val="21"/>
        </w:rPr>
        <w:t>Marker 1   →  Slide 1   Core Distinction</w:t>
      </w:r>
    </w:p>
    <w:p>
      <w:pPr>
        <w:spacing w:before="0" w:after="30" w:line="269" w:lineRule="auto"/>
        <w:keepLines w:val="1"/>
      </w:pPr>
      <w:r>
        <w:rPr>
          <w:b w:val="0"/>
          <w:i w:val="0"/>
          <w:sz w:val="21"/>
        </w:rPr>
        <w:t>Marker 2   →  Slide 2   The Three Questions</w:t>
      </w:r>
    </w:p>
    <w:p>
      <w:pPr>
        <w:spacing w:before="0" w:after="30" w:line="269" w:lineRule="auto"/>
        <w:keepLines w:val="1"/>
      </w:pPr>
      <w:r>
        <w:rPr>
          <w:b w:val="0"/>
          <w:i w:val="0"/>
          <w:sz w:val="21"/>
        </w:rPr>
        <w:t>Marker 3   →  Slide 3   1 — Will the Work Change?</w:t>
      </w:r>
    </w:p>
    <w:p>
      <w:pPr>
        <w:spacing w:before="0" w:after="30" w:line="269" w:lineRule="auto"/>
        <w:keepLines w:val="1"/>
      </w:pPr>
      <w:r>
        <w:rPr>
          <w:b w:val="0"/>
          <w:i w:val="0"/>
          <w:sz w:val="21"/>
        </w:rPr>
        <w:t>Marker 4   →  Slide 4   Access Test</w:t>
      </w:r>
    </w:p>
    <w:p>
      <w:pPr>
        <w:spacing w:before="0" w:after="30" w:line="269" w:lineRule="auto"/>
        <w:keepLines w:val="1"/>
      </w:pPr>
      <w:r>
        <w:rPr>
          <w:b w:val="0"/>
          <w:i w:val="0"/>
          <w:sz w:val="21"/>
        </w:rPr>
        <w:t>Marker 5   →  Slide 5   2 — Will Your Judgment Expand?</w:t>
      </w:r>
    </w:p>
    <w:p>
      <w:pPr>
        <w:spacing w:before="0" w:after="30" w:line="269" w:lineRule="auto"/>
        <w:keepLines w:val="1"/>
      </w:pPr>
      <w:r>
        <w:rPr>
          <w:b w:val="0"/>
          <w:i w:val="0"/>
          <w:sz w:val="21"/>
        </w:rPr>
        <w:t>Marker 6   →  Slide 6   More Tasks / More Judgment</w:t>
      </w:r>
    </w:p>
    <w:p>
      <w:pPr>
        <w:spacing w:before="0" w:after="30" w:line="269" w:lineRule="auto"/>
        <w:keepLines w:val="1"/>
      </w:pPr>
      <w:r>
        <w:rPr>
          <w:b w:val="0"/>
          <w:i w:val="0"/>
          <w:sz w:val="21"/>
        </w:rPr>
        <w:t>Marker 7   →  Slide 7   3 — Will the Evidence Travel?</w:t>
      </w:r>
    </w:p>
    <w:p>
      <w:pPr>
        <w:spacing w:before="0" w:after="30" w:line="269" w:lineRule="auto"/>
        <w:keepLines w:val="1"/>
      </w:pPr>
      <w:r>
        <w:rPr>
          <w:b w:val="0"/>
          <w:i w:val="0"/>
          <w:sz w:val="21"/>
        </w:rPr>
        <w:t>Marker 8   →  Slide 8   Result / Judgment / Range</w:t>
      </w:r>
    </w:p>
    <w:p>
      <w:pPr>
        <w:spacing w:before="0" w:after="30" w:line="269" w:lineRule="auto"/>
        <w:keepLines w:val="1"/>
      </w:pPr>
      <w:r>
        <w:rPr>
          <w:b w:val="0"/>
          <w:i w:val="0"/>
          <w:sz w:val="21"/>
        </w:rPr>
        <w:t>Marker 9   →  Slide 9   Decision Read</w:t>
      </w:r>
    </w:p>
    <w:p>
      <w:pPr>
        <w:spacing w:before="0" w:after="30" w:line="269" w:lineRule="auto"/>
        <w:keepLines w:val="1"/>
      </w:pPr>
      <w:r>
        <w:rPr>
          <w:b w:val="0"/>
          <w:i w:val="0"/>
          <w:sz w:val="21"/>
        </w:rPr>
        <w:t>Marker 10  →  Slide 10  Conversation Prompts</w:t>
      </w:r>
    </w:p>
    <w:p>
      <w:pPr>
        <w:spacing w:before="0" w:after="30" w:line="269" w:lineRule="auto"/>
        <w:keepLines w:val="1"/>
      </w:pPr>
      <w:r>
        <w:rPr>
          <w:b w:val="0"/>
          <w:i w:val="0"/>
          <w:sz w:val="21"/>
        </w:rPr>
        <w:t>Marker 11  →  Slide 11  Career Decision Evidence Check</w:t>
      </w:r>
    </w:p>
    <w:p>
      <w:pPr>
        <w:spacing w:before="0" w:after="30" w:line="269" w:lineRule="auto"/>
        <w:keepLines w:val="1"/>
      </w:pPr>
      <w:r>
        <w:rPr>
          <w:b w:val="0"/>
          <w:i w:val="0"/>
          <w:sz w:val="21"/>
        </w:rPr>
        <w:t>Marker 12  →  Slide 12  Watch Next</w:t>
      </w:r>
    </w:p>
    <w:p>
      <w:pPr>
        <w:spacing w:before="140" w:after="80" w:line="269" w:lineRule="auto"/>
        <w:keepLines w:val="1"/>
        <w:keepNext w:val="1"/>
      </w:pPr>
      <w:r>
        <w:rPr>
          <w:b/>
          <w:i w:val="0"/>
          <w:color w:val="0F2346"/>
          <w:sz w:val="28"/>
        </w:rPr>
        <w:t>5.  Existing reveal-frame map</w:t>
      </w:r>
    </w:p>
    <w:p>
      <w:pPr>
        <w:spacing w:before="0" w:after="80" w:line="269" w:lineRule="auto"/>
      </w:pPr>
      <w:r>
        <w:rPr>
          <w:b w:val="0"/>
          <w:i w:val="0"/>
          <w:sz w:val="22"/>
        </w:rPr>
        <w:t>The reveal-build deck contains 25 frames. This is the inspected count from the actual file, not an assumption. Reveal visuals are unchanged.</w:t>
      </w:r>
    </w:p>
    <w:p>
      <w:pPr>
        <w:spacing w:before="0" w:after="30" w:line="269" w:lineRule="auto"/>
        <w:keepLines w:val="1"/>
      </w:pPr>
      <w:r>
        <w:rPr>
          <w:b w:val="0"/>
          <w:i w:val="0"/>
          <w:sz w:val="21"/>
        </w:rPr>
        <w:t>Slide 1   →  reveal frames 1–2      (2)</w:t>
      </w:r>
    </w:p>
    <w:p>
      <w:pPr>
        <w:spacing w:before="0" w:after="30" w:line="269" w:lineRule="auto"/>
        <w:keepLines w:val="1"/>
      </w:pPr>
      <w:r>
        <w:rPr>
          <w:b w:val="0"/>
          <w:i w:val="0"/>
          <w:sz w:val="21"/>
        </w:rPr>
        <w:t>Slide 2   →  reveal frames 3–5      (3)</w:t>
      </w:r>
    </w:p>
    <w:p>
      <w:pPr>
        <w:spacing w:before="0" w:after="30" w:line="269" w:lineRule="auto"/>
        <w:keepLines w:val="1"/>
      </w:pPr>
      <w:r>
        <w:rPr>
          <w:b w:val="0"/>
          <w:i w:val="0"/>
          <w:sz w:val="21"/>
        </w:rPr>
        <w:t>Slide 3   →  reveal frames 6        (1)</w:t>
      </w:r>
    </w:p>
    <w:p>
      <w:pPr>
        <w:spacing w:before="0" w:after="30" w:line="269" w:lineRule="auto"/>
        <w:keepLines w:val="1"/>
      </w:pPr>
      <w:r>
        <w:rPr>
          <w:b w:val="0"/>
          <w:i w:val="0"/>
          <w:sz w:val="21"/>
        </w:rPr>
        <w:t>Slide 4   →  reveal frames 7–10     (4)</w:t>
      </w:r>
    </w:p>
    <w:p>
      <w:pPr>
        <w:spacing w:before="0" w:after="30" w:line="269" w:lineRule="auto"/>
        <w:keepLines w:val="1"/>
      </w:pPr>
      <w:r>
        <w:rPr>
          <w:b w:val="0"/>
          <w:i w:val="0"/>
          <w:sz w:val="21"/>
        </w:rPr>
        <w:t>Slide 5   →  reveal frames 11       (1)</w:t>
      </w:r>
    </w:p>
    <w:p>
      <w:pPr>
        <w:spacing w:before="0" w:after="30" w:line="269" w:lineRule="auto"/>
        <w:keepLines w:val="1"/>
      </w:pPr>
      <w:r>
        <w:rPr>
          <w:b w:val="0"/>
          <w:i w:val="0"/>
          <w:sz w:val="21"/>
        </w:rPr>
        <w:t>Slide 6   →  reveal frames 12–13    (2)</w:t>
      </w:r>
    </w:p>
    <w:p>
      <w:pPr>
        <w:spacing w:before="0" w:after="30" w:line="269" w:lineRule="auto"/>
        <w:keepLines w:val="1"/>
      </w:pPr>
      <w:r>
        <w:rPr>
          <w:b w:val="0"/>
          <w:i w:val="0"/>
          <w:sz w:val="21"/>
        </w:rPr>
        <w:t>Slide 7   →  reveal frames 14       (1)</w:t>
      </w:r>
    </w:p>
    <w:p>
      <w:pPr>
        <w:spacing w:before="0" w:after="30" w:line="269" w:lineRule="auto"/>
        <w:keepLines w:val="1"/>
      </w:pPr>
      <w:r>
        <w:rPr>
          <w:b w:val="0"/>
          <w:i w:val="0"/>
          <w:sz w:val="21"/>
        </w:rPr>
        <w:t>Slide 8   →  reveal frames 15–17    (3)</w:t>
      </w:r>
    </w:p>
    <w:p>
      <w:pPr>
        <w:spacing w:before="0" w:after="30" w:line="269" w:lineRule="auto"/>
        <w:keepLines w:val="1"/>
      </w:pPr>
      <w:r>
        <w:rPr>
          <w:b w:val="0"/>
          <w:i w:val="0"/>
          <w:sz w:val="21"/>
        </w:rPr>
        <w:t>Slide 9   →  reveal frames 18–20    (3)</w:t>
      </w:r>
    </w:p>
    <w:p>
      <w:pPr>
        <w:spacing w:before="0" w:after="30" w:line="269" w:lineRule="auto"/>
        <w:keepLines w:val="1"/>
      </w:pPr>
      <w:r>
        <w:rPr>
          <w:b w:val="0"/>
          <w:i w:val="0"/>
          <w:sz w:val="21"/>
        </w:rPr>
        <w:t>Slide 10  →  reveal frames 21–23    (3)</w:t>
      </w:r>
    </w:p>
    <w:p>
      <w:pPr>
        <w:spacing w:before="0" w:after="30" w:line="269" w:lineRule="auto"/>
        <w:keepLines w:val="1"/>
      </w:pPr>
      <w:r>
        <w:rPr>
          <w:b w:val="0"/>
          <w:i w:val="0"/>
          <w:sz w:val="21"/>
        </w:rPr>
        <w:t>Slide 11  →  reveal frames 24       (1)</w:t>
      </w:r>
    </w:p>
    <w:p>
      <w:pPr>
        <w:spacing w:before="0" w:after="30" w:line="269" w:lineRule="auto"/>
        <w:keepLines w:val="1"/>
      </w:pPr>
      <w:r>
        <w:rPr>
          <w:b w:val="0"/>
          <w:i w:val="0"/>
          <w:sz w:val="21"/>
        </w:rPr>
        <w:t>Slide 12  →  reveal frames 25       (1)</w:t>
      </w:r>
    </w:p>
    <w:p>
      <w:pPr>
        <w:spacing w:before="40" w:after="80" w:line="269" w:lineRule="auto"/>
        <w:keepLines w:val="1"/>
      </w:pPr>
      <w:r>
        <w:rPr>
          <w:b w:val="0"/>
          <w:i/>
          <w:color w:val="5A6B82"/>
          <w:sz w:val="21"/>
        </w:rPr>
        <w:t>Slides 3, 5, 7, 11 and 12 are single-state frames; the rest build.</w:t>
      </w:r>
    </w:p>
    <w:p>
      <w:pPr>
        <w:spacing w:before="100" w:after="50" w:line="269" w:lineRule="auto"/>
        <w:keepLines w:val="1"/>
        <w:keepNext w:val="1"/>
      </w:pPr>
      <w:r>
        <w:rPr>
          <w:b/>
          <w:i w:val="0"/>
          <w:color w:val="0F2346"/>
          <w:sz w:val="23"/>
        </w:rPr>
        <w:t>Let the visual carry the information</w:t>
      </w:r>
    </w:p>
    <w:p>
      <w:pPr>
        <w:spacing w:before="0" w:after="60" w:line="269" w:lineRule="auto"/>
      </w:pPr>
      <w:r>
        <w:rPr>
          <w:b w:val="0"/>
          <w:i w:val="0"/>
          <w:sz w:val="22"/>
        </w:rPr>
        <w:t>Do not add spoken wording to compensate for slide copy.</w:t>
      </w:r>
    </w:p>
    <w:p>
      <w:pPr>
        <w:spacing w:before="0" w:after="50" w:line="269" w:lineRule="auto"/>
        <w:keepLines w:val="1"/>
      </w:pPr>
      <w:r>
        <w:rPr>
          <w:b w:val="0"/>
          <w:i w:val="0"/>
          <w:sz w:val="22"/>
        </w:rPr>
        <w:t>Slide 2 carries the three-question preview.</w:t>
      </w:r>
    </w:p>
    <w:p>
      <w:pPr>
        <w:spacing w:before="0" w:after="50" w:line="269" w:lineRule="auto"/>
        <w:keepLines w:val="1"/>
      </w:pPr>
      <w:r>
        <w:rPr>
          <w:b w:val="0"/>
          <w:i w:val="0"/>
          <w:sz w:val="22"/>
        </w:rPr>
        <w:t>Slide 4 carries new problems / systems / stakeholders / context.</w:t>
      </w:r>
    </w:p>
    <w:p>
      <w:pPr>
        <w:spacing w:before="0" w:after="50" w:line="269" w:lineRule="auto"/>
        <w:keepLines w:val="1"/>
      </w:pPr>
      <w:r>
        <w:rPr>
          <w:b w:val="0"/>
          <w:i w:val="0"/>
          <w:sz w:val="22"/>
        </w:rPr>
        <w:t>Slide 6 carries MORE TASKS vs MORE JUDGMENT.</w:t>
      </w:r>
    </w:p>
    <w:p>
      <w:pPr>
        <w:spacing w:before="0" w:after="50" w:line="269" w:lineRule="auto"/>
        <w:keepLines w:val="1"/>
      </w:pPr>
      <w:r>
        <w:rPr>
          <w:b w:val="0"/>
          <w:i w:val="0"/>
          <w:sz w:val="22"/>
        </w:rPr>
        <w:t>Slide 8 carries RESULT / JUDGMENT / RANGE.</w:t>
      </w:r>
    </w:p>
    <w:p>
      <w:pPr>
        <w:spacing w:before="0" w:after="50" w:line="269" w:lineRule="auto"/>
        <w:keepLines w:val="1"/>
      </w:pPr>
      <w:r>
        <w:rPr>
          <w:b w:val="0"/>
          <w:i w:val="0"/>
          <w:sz w:val="22"/>
        </w:rPr>
        <w:t>Slide 9 carries the 3 / 2 / 0–1 decision read.</w:t>
      </w:r>
    </w:p>
    <w:p>
      <w:pPr>
        <w:spacing w:before="0" w:after="50" w:line="269" w:lineRule="auto"/>
        <w:keepLines w:val="1"/>
      </w:pPr>
      <w:r>
        <w:rPr>
          <w:b w:val="0"/>
          <w:i w:val="0"/>
          <w:sz w:val="22"/>
        </w:rPr>
        <w:t>Slide 10 carries the conversation prompts.</w:t>
      </w:r>
    </w:p>
    <w:p>
      <w:pPr>
        <w:spacing w:before="140" w:after="80" w:line="269" w:lineRule="auto"/>
        <w:keepLines w:val="1"/>
        <w:keepNext w:val="1"/>
      </w:pPr>
      <w:r>
        <w:rPr>
          <w:b/>
          <w:i w:val="0"/>
          <w:color w:val="0F2346"/>
          <w:sz w:val="28"/>
        </w:rPr>
        <w:t>6.  Factual boundaries</w:t>
      </w:r>
    </w:p>
    <w:p>
      <w:pPr>
        <w:spacing w:before="0" w:after="80" w:line="269" w:lineRule="auto"/>
        <w:shd w:val="clear" w:fill="F3F0E8"/>
        <w:keepLines w:val="1"/>
      </w:pPr>
      <w:r>
        <w:rPr>
          <w:b/>
          <w:i w:val="0"/>
          <w:color w:val="9B2C10"/>
          <w:sz w:val="22"/>
        </w:rPr>
        <w:t>FACTUAL BOUNDARY. The confirmed evidence is only this: about six months after Temidayo returned from maternity leave in one career chapter, her scope expanded beyond the original box of the role, and the meaningful part was being trusted with different work.</w:t>
      </w:r>
    </w:p>
    <w:p>
      <w:pPr>
        <w:spacing w:before="0" w:after="50" w:line="269" w:lineRule="auto"/>
      </w:pPr>
      <w:r>
        <w:rPr>
          <w:b w:val="0"/>
          <w:i w:val="0"/>
          <w:sz w:val="22"/>
        </w:rPr>
        <w:t>Do not add:</w:t>
      </w:r>
    </w:p>
    <w:p>
      <w:pPr>
        <w:spacing w:before="0" w:after="30" w:line="269" w:lineRule="auto"/>
        <w:keepLines w:val="1"/>
      </w:pPr>
      <w:r>
        <w:rPr>
          <w:b w:val="0"/>
          <w:i w:val="0"/>
          <w:sz w:val="22"/>
        </w:rPr>
        <w:t>—  an employer name;        —  an exact title;        —  an exact assignment;</w:t>
      </w:r>
    </w:p>
    <w:p>
      <w:pPr>
        <w:spacing w:before="0" w:after="30" w:line="269" w:lineRule="auto"/>
        <w:keepLines w:val="1"/>
      </w:pPr>
      <w:r>
        <w:rPr>
          <w:b w:val="0"/>
          <w:i w:val="0"/>
          <w:sz w:val="22"/>
        </w:rPr>
        <w:t>—  an executive conversation;        —  a quote;        —  a metric;</w:t>
      </w:r>
    </w:p>
    <w:p>
      <w:pPr>
        <w:spacing w:before="0" w:after="30" w:line="269" w:lineRule="auto"/>
        <w:keepLines w:val="1"/>
      </w:pPr>
      <w:r>
        <w:rPr>
          <w:b w:val="0"/>
          <w:i w:val="0"/>
          <w:sz w:val="22"/>
        </w:rPr>
        <w:t>—  a promotion;        —  a causal claim;        —  a conflict;</w:t>
      </w:r>
    </w:p>
    <w:p>
      <w:pPr>
        <w:spacing w:before="0" w:after="30" w:line="269" w:lineRule="auto"/>
        <w:keepLines w:val="1"/>
      </w:pPr>
      <w:r>
        <w:rPr>
          <w:b w:val="0"/>
          <w:i w:val="0"/>
          <w:sz w:val="22"/>
        </w:rPr>
        <w:t>—  a resistance story;        —  an unestablished result.</w:t>
      </w:r>
    </w:p>
    <w:p>
      <w:pPr>
        <w:spacing w:before="40" w:after="60" w:line="269" w:lineRule="auto"/>
        <w:keepLines w:val="1"/>
      </w:pPr>
      <w:r>
        <w:rPr>
          <w:b/>
          <w:i w:val="0"/>
          <w:color w:val="9B2C10"/>
          <w:sz w:val="22"/>
        </w:rPr>
        <w:t>Do not name the employer publicly in this video.</w:t>
      </w:r>
    </w:p>
    <w:p>
      <w:pPr>
        <w:spacing w:before="0" w:after="80" w:line="269" w:lineRule="auto"/>
        <w:keepLines w:val="1"/>
      </w:pPr>
      <w:r>
        <w:rPr>
          <w:b w:val="0"/>
          <w:i w:val="0"/>
          <w:sz w:val="22"/>
        </w:rPr>
        <w:t>The accurate learning is NOT “my scope got bigger, therefore I grew.” It is that being trusted with different work was the meaningful part.</w:t>
      </w:r>
    </w:p>
    <w:p>
      <w:pPr>
        <w:spacing w:before="140" w:after="80" w:line="269" w:lineRule="auto"/>
        <w:keepLines w:val="1"/>
        <w:keepNext w:val="1"/>
      </w:pPr>
      <w:r>
        <w:rPr>
          <w:b/>
          <w:i w:val="0"/>
          <w:color w:val="0F2346"/>
          <w:sz w:val="28"/>
        </w:rPr>
        <w:t>7.  Safety and decision boundaries</w:t>
      </w:r>
    </w:p>
    <w:p>
      <w:pPr>
        <w:spacing w:before="0" w:after="60" w:line="269" w:lineRule="auto"/>
      </w:pPr>
      <w:r>
        <w:rPr>
          <w:b w:val="0"/>
          <w:i w:val="0"/>
          <w:sz w:val="22"/>
        </w:rPr>
        <w:t>Preserve the script's explicit acknowledgment that:</w:t>
      </w:r>
    </w:p>
    <w:p>
      <w:pPr>
        <w:spacing w:before="0" w:after="40" w:line="269" w:lineRule="auto"/>
        <w:keepLines w:val="1"/>
      </w:pPr>
      <w:r>
        <w:rPr>
          <w:b w:val="0"/>
          <w:i w:val="0"/>
          <w:sz w:val="22"/>
        </w:rPr>
        <w:t>—  a lower-formation move may still be right for pay, flexibility, benefits, stability or manager fit;</w:t>
      </w:r>
    </w:p>
    <w:p>
      <w:pPr>
        <w:spacing w:before="0" w:after="40" w:line="269" w:lineRule="auto"/>
        <w:keepLines w:val="1"/>
      </w:pPr>
      <w:r>
        <w:rPr>
          <w:b w:val="0"/>
          <w:i w:val="0"/>
          <w:sz w:val="22"/>
        </w:rPr>
        <w:t>—  health and safety take priority;</w:t>
      </w:r>
    </w:p>
    <w:p>
      <w:pPr>
        <w:spacing w:before="0" w:after="40" w:line="269" w:lineRule="auto"/>
        <w:keepLines w:val="1"/>
      </w:pPr>
      <w:r>
        <w:rPr>
          <w:b w:val="0"/>
          <w:i w:val="0"/>
          <w:sz w:val="22"/>
        </w:rPr>
        <w:t>—  harassment or discrimination is not a situation to optimise around before seeking appropriate support;</w:t>
      </w:r>
    </w:p>
    <w:p>
      <w:pPr>
        <w:spacing w:before="0" w:after="40" w:line="269" w:lineRule="auto"/>
        <w:keepLines w:val="1"/>
      </w:pPr>
      <w:r>
        <w:rPr>
          <w:b w:val="0"/>
          <w:i w:val="0"/>
          <w:sz w:val="22"/>
        </w:rPr>
        <w:t>—  caregiving, immigration status, location, energy and timing may change the decision;</w:t>
      </w:r>
    </w:p>
    <w:p>
      <w:pPr>
        <w:spacing w:before="0" w:after="40" w:line="269" w:lineRule="auto"/>
        <w:keepLines w:val="1"/>
      </w:pPr>
      <w:r>
        <w:rPr>
          <w:b w:val="0"/>
          <w:i w:val="0"/>
          <w:sz w:val="22"/>
        </w:rPr>
        <w:t>—  an internal move will not solve every problem, and a capable person can still be overlooked.</w:t>
      </w:r>
    </w:p>
    <w:p>
      <w:pPr>
        <w:spacing w:before="40" w:after="80" w:line="269" w:lineRule="auto"/>
        <w:keepLines w:val="1"/>
      </w:pPr>
      <w:r>
        <w:rPr>
          <w:b/>
          <w:i w:val="0"/>
          <w:color w:val="9B2C10"/>
          <w:sz w:val="22"/>
        </w:rPr>
        <w:t>Never claim that every internal move is growth, and never claim an external move is automatically better.</w:t>
      </w:r>
    </w:p>
    <w:p>
      <w:pPr>
        <w:spacing w:before="140" w:after="80" w:line="269" w:lineRule="auto"/>
        <w:keepLines w:val="1"/>
        <w:keepNext w:val="1"/>
      </w:pPr>
      <w:r>
        <w:rPr>
          <w:b/>
          <w:i w:val="0"/>
          <w:color w:val="0F2346"/>
          <w:sz w:val="28"/>
        </w:rPr>
        <w:t>8.  CTA and watch next</w:t>
      </w:r>
    </w:p>
    <w:p>
      <w:pPr>
        <w:spacing w:before="0" w:after="50" w:line="269" w:lineRule="auto"/>
        <w:keepLines w:val="1"/>
      </w:pPr>
      <w:r>
        <w:rPr>
          <w:b w:val="0"/>
          <w:i w:val="0"/>
          <w:sz w:val="22"/>
        </w:rPr>
        <w:t>One resource CTA only: Career Decision Evidence Check — https://temidayoafonja.com/career-decisions</w:t>
      </w:r>
    </w:p>
    <w:p>
      <w:pPr>
        <w:spacing w:before="0" w:after="60" w:line="269" w:lineRule="auto"/>
        <w:keepLines w:val="1"/>
      </w:pPr>
      <w:r>
        <w:rPr>
          <w:b/>
          <w:i w:val="0"/>
          <w:sz w:val="22"/>
        </w:rPr>
        <w:t>Do not add the Capability Formation Field Kit, the Career Evidence Starter or Keep the Proof to this video.</w:t>
      </w:r>
    </w:p>
    <w:p>
      <w:pPr>
        <w:spacing w:before="0" w:after="80" w:line="269" w:lineRule="auto"/>
        <w:keepLines w:val="1"/>
      </w:pPr>
      <w:r>
        <w:rPr>
          <w:b/>
          <w:i w:val="0"/>
          <w:color w:val="0F2346"/>
          <w:sz w:val="22"/>
        </w:rPr>
        <w:t>The production gate is satisfied.</w:t>
      </w:r>
    </w:p>
    <w:p>
      <w:pPr>
        <w:spacing w:before="0" w:after="50" w:line="269" w:lineRule="auto"/>
        <w:keepLines w:val="1"/>
      </w:pPr>
      <w:r>
        <w:rPr>
          <w:b/>
          <w:i w:val="0"/>
          <w:sz w:val="22"/>
        </w:rPr>
        <w:t>Watch next: Video 6 — Are You Growing—or Just Being Given More Work?</w:t>
      </w:r>
    </w:p>
    <w:p>
      <w:pPr>
        <w:spacing w:before="0" w:after="40" w:line="269" w:lineRule="auto"/>
        <w:keepLines w:val="1"/>
      </w:pPr>
      <w:r>
        <w:rPr>
          <w:b w:val="0"/>
          <w:i w:val="0"/>
          <w:sz w:val="22"/>
        </w:rPr>
        <w:t>—  use direct Video 6 end-screen routing once Video 6 is public;</w:t>
      </w:r>
    </w:p>
    <w:p>
      <w:pPr>
        <w:spacing w:before="0" w:after="40" w:line="269" w:lineRule="auto"/>
        <w:keepLines w:val="1"/>
      </w:pPr>
      <w:r>
        <w:rPr>
          <w:b w:val="0"/>
          <w:i w:val="0"/>
          <w:sz w:val="22"/>
        </w:rPr>
        <w:t>—  before Video 6 is public, use the Career Portability playlist if it is functioning;</w:t>
      </w:r>
    </w:p>
    <w:p>
      <w:pPr>
        <w:spacing w:before="0" w:after="40" w:line="269" w:lineRule="auto"/>
        <w:keepLines w:val="1"/>
      </w:pPr>
      <w:r>
        <w:rPr>
          <w:b w:val="0"/>
          <w:i w:val="0"/>
          <w:sz w:val="22"/>
        </w:rPr>
        <w:t>—  otherwise use an appropriate currently public video or YouTube's best-for-viewer option temporarily.</w:t>
      </w:r>
    </w:p>
    <w:p>
      <w:pPr>
        <w:spacing w:before="40" w:after="80" w:line="269" w:lineRule="auto"/>
        <w:keepLines w:val="1"/>
      </w:pPr>
      <w:r>
        <w:rPr>
          <w:b/>
          <w:i w:val="0"/>
          <w:color w:val="9B2C10"/>
          <w:sz w:val="22"/>
        </w:rPr>
        <w:t>Do not leave Subscribe as the only end-screen element.</w:t>
      </w:r>
    </w:p>
    <w:p>
      <w:pPr>
        <w:spacing w:before="140" w:after="80" w:line="269" w:lineRule="auto"/>
        <w:keepLines w:val="1"/>
        <w:keepNext w:val="1"/>
      </w:pPr>
      <w:r>
        <w:rPr>
          <w:b/>
          <w:i w:val="0"/>
          <w:color w:val="0F2346"/>
          <w:sz w:val="28"/>
        </w:rPr>
        <w:t>9.  Editing rhythm</w:t>
      </w:r>
    </w:p>
    <w:p>
      <w:pPr>
        <w:spacing w:before="0" w:after="80" w:line="269" w:lineRule="auto"/>
      </w:pPr>
      <w:r>
        <w:rPr>
          <w:b w:val="0"/>
          <w:i w:val="0"/>
          <w:sz w:val="22"/>
        </w:rPr>
        <w:t>After the first 30 seconds, let the deck carry the three questions, the access variables, the task-versus-judgment distinction, the evidence types, the decision read and the conversation prompts. Temidayo's voice carries interpretation, organizational mechanics, limits and real-life tradeoffs.</w:t>
      </w:r>
    </w:p>
    <w:p>
      <w:pPr>
        <w:spacing w:before="0" w:after="30" w:line="269" w:lineRule="auto"/>
        <w:keepLines w:val="1"/>
      </w:pPr>
      <w:r>
        <w:rPr>
          <w:b w:val="0"/>
          <w:i w:val="0"/>
          <w:sz w:val="22"/>
        </w:rPr>
        <w:t>—  preserve natural pacing;        —  avoid constant motion;</w:t>
      </w:r>
    </w:p>
    <w:p>
      <w:pPr>
        <w:spacing w:before="0" w:after="30" w:line="269" w:lineRule="auto"/>
        <w:keepLines w:val="1"/>
      </w:pPr>
      <w:r>
        <w:rPr>
          <w:b w:val="0"/>
          <w:i w:val="0"/>
          <w:sz w:val="22"/>
        </w:rPr>
        <w:t>—  avoid decorative B-roll;        —  avoid text duplication;</w:t>
      </w:r>
    </w:p>
    <w:p>
      <w:pPr>
        <w:spacing w:before="0" w:after="30" w:line="269" w:lineRule="auto"/>
        <w:keepLines w:val="1"/>
      </w:pPr>
      <w:r>
        <w:rPr>
          <w:b w:val="0"/>
          <w:i w:val="0"/>
          <w:sz w:val="22"/>
        </w:rPr>
        <w:t>—  avoid constant punch-ins;        —  allow reflective pauses.</w:t>
      </w:r>
    </w:p>
    <w:p>
      <w:pPr>
        <w:spacing w:before="140" w:after="80" w:line="269" w:lineRule="auto"/>
        <w:keepLines w:val="1"/>
        <w:keepNext w:val="1"/>
      </w:pPr>
      <w:r>
        <w:rPr>
          <w:b/>
          <w:i w:val="0"/>
          <w:color w:val="0F2346"/>
          <w:sz w:val="28"/>
        </w:rPr>
        <w:t>10.  Visual “do not use” list</w:t>
      </w:r>
    </w:p>
    <w:p>
      <w:pPr>
        <w:spacing w:before="0" w:after="30" w:line="269" w:lineRule="auto"/>
        <w:keepLines w:val="1"/>
      </w:pPr>
      <w:r>
        <w:rPr>
          <w:b w:val="0"/>
          <w:i w:val="0"/>
          <w:sz w:val="22"/>
        </w:rPr>
        <w:t>—  maternity imagery;        —  baby imagery;        —  stock office B-roll;</w:t>
      </w:r>
    </w:p>
    <w:p>
      <w:pPr>
        <w:spacing w:before="0" w:after="30" w:line="269" w:lineRule="auto"/>
        <w:keepLines w:val="1"/>
      </w:pPr>
      <w:r>
        <w:rPr>
          <w:b w:val="0"/>
          <w:i w:val="0"/>
          <w:sz w:val="22"/>
        </w:rPr>
        <w:t>—  transfer arrows;        —  doors;        —  ladders;</w:t>
      </w:r>
    </w:p>
    <w:p>
      <w:pPr>
        <w:spacing w:before="0" w:after="30" w:line="269" w:lineRule="auto"/>
        <w:keepLines w:val="1"/>
      </w:pPr>
      <w:r>
        <w:rPr>
          <w:b w:val="0"/>
          <w:i w:val="0"/>
          <w:sz w:val="22"/>
        </w:rPr>
        <w:t>—  job-change icons;        —  generic org charts;</w:t>
      </w:r>
    </w:p>
    <w:p>
      <w:pPr>
        <w:spacing w:before="0" w:after="30" w:line="269" w:lineRule="auto"/>
        <w:keepLines w:val="1"/>
      </w:pPr>
      <w:r>
        <w:rPr>
          <w:b w:val="0"/>
          <w:i w:val="0"/>
          <w:sz w:val="22"/>
        </w:rPr>
        <w:t>—  fake promotion graphics;        —  org-chart animation;</w:t>
      </w:r>
    </w:p>
    <w:p>
      <w:pPr>
        <w:spacing w:before="0" w:after="30" w:line="269" w:lineRule="auto"/>
        <w:keepLines w:val="1"/>
      </w:pPr>
      <w:r>
        <w:rPr>
          <w:b w:val="0"/>
          <w:i w:val="0"/>
          <w:sz w:val="22"/>
        </w:rPr>
        <w:t>—  employer logos;        —  résumé graphics;        —  constant zooms;</w:t>
      </w:r>
    </w:p>
    <w:p>
      <w:pPr>
        <w:spacing w:before="0" w:after="30" w:line="269" w:lineRule="auto"/>
        <w:keepLines w:val="1"/>
      </w:pPr>
      <w:r>
        <w:rPr>
          <w:b w:val="0"/>
          <w:i w:val="0"/>
          <w:sz w:val="22"/>
        </w:rPr>
        <w:t>—  red warning graphics;        —  fake shock expressions;</w:t>
      </w:r>
    </w:p>
    <w:p>
      <w:pPr>
        <w:spacing w:before="0" w:after="30" w:line="269" w:lineRule="auto"/>
        <w:keepLines w:val="1"/>
      </w:pPr>
      <w:r>
        <w:rPr>
          <w:b w:val="0"/>
          <w:i w:val="0"/>
          <w:sz w:val="22"/>
        </w:rPr>
        <w:t>—  AI-generated scenery;        —  social-media template effects.</w:t>
      </w:r>
    </w:p>
    <w:p>
      <w:pPr>
        <w:spacing w:before="140" w:after="80" w:line="269" w:lineRule="auto"/>
        <w:keepLines w:val="1"/>
        <w:keepNext w:val="1"/>
      </w:pPr>
      <w:r>
        <w:rPr>
          <w:b/>
          <w:i w:val="0"/>
          <w:color w:val="0F2346"/>
          <w:sz w:val="28"/>
        </w:rPr>
        <w:t>11.  Speaker-note update record</w:t>
      </w:r>
    </w:p>
    <w:p>
      <w:pPr>
        <w:spacing w:before="0" w:after="80" w:line="269" w:lineRule="auto"/>
      </w:pPr>
      <w:r>
        <w:rPr>
          <w:b w:val="0"/>
          <w:i w:val="0"/>
          <w:sz w:val="22"/>
        </w:rPr>
        <w:t>Both decks ship with speaker notes rewritten for the v3.0 script. The superseded v2.0 timings and narration cues have been removed; nothing on any slide was changed.</w:t>
      </w:r>
    </w:p>
    <w:p>
      <w:pPr>
        <w:spacing w:before="0" w:after="40" w:line="269" w:lineRule="auto"/>
        <w:keepLines w:val="1"/>
      </w:pPr>
      <w:r>
        <w:rPr>
          <w:b w:val="0"/>
          <w:i w:val="0"/>
          <w:sz w:val="22"/>
        </w:rPr>
        <w:t>—  Main deck: 12 notes parts rewritten, one per slide.</w:t>
      </w:r>
    </w:p>
    <w:p>
      <w:pPr>
        <w:spacing w:before="0" w:after="40" w:line="269" w:lineRule="auto"/>
        <w:keepLines w:val="1"/>
      </w:pPr>
      <w:r>
        <w:rPr>
          <w:b w:val="0"/>
          <w:i w:val="0"/>
          <w:sz w:val="22"/>
        </w:rPr>
        <w:t>—  Reveal deck: 25 notes parts rewritten, one per reveal frame.</w:t>
      </w:r>
    </w:p>
    <w:p>
      <w:pPr>
        <w:spacing w:before="0" w:after="40" w:line="269" w:lineRule="auto"/>
        <w:keepLines w:val="1"/>
      </w:pPr>
      <w:r>
        <w:rPr>
          <w:b w:val="0"/>
          <w:i w:val="0"/>
          <w:sz w:val="22"/>
        </w:rPr>
        <w:t>—  Slide XML, geometry, typography, palette and media: unchanged.</w:t>
      </w:r>
    </w:p>
    <w:p>
      <w:pPr>
        <w:spacing w:before="0" w:after="40" w:line="269" w:lineRule="auto"/>
        <w:keepLines w:val="1"/>
      </w:pPr>
      <w:r>
        <w:rPr>
          <w:b w:val="0"/>
          <w:i w:val="0"/>
          <w:sz w:val="22"/>
        </w:rPr>
        <w:t>—  Timings in the notes are script-derived working estimates at 145 words per minute.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