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RESOLVED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earlier opening asserted a measured comparison that no research or evidence in this workspace supports. The approved replacement is explicitly hypothetical and is now in the master: “Imagine a task that takes someone hours. Now imagine AI produces a first draft in seconds. That sounds like progress. But those hours were not always wasted.” Nothing in this package presents it as a benchmark, and no figure is attached to it.</w:t>
      </w:r>
    </w:p>
    <w:p>
      <w:pPr>
        <w:spacing w:before="120" w:after="160"/>
      </w:pPr>
      <w:r>
        <w:rPr>
          <w:b w:val="0"/>
          <w:i w:val="0"/>
          <w:sz w:val="21"/>
        </w:rPr>
        <w:t>Two Riverside triggers quoted the old wording and were re-pointed to the new sentences; the change is recorded in locate.TRIGGER_REMAP and shown in the Riverside prompt wherever it applies. V4 Short 1 now opens on the approved hypothetical. No card, Short, description or publishing item still depends on the old wording.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gets the experience that used to come from doing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task can be both.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It taught you what good looked like.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Pattern recognition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Not: should AI do the task?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they still have to make a choice?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to watch when a task is automated.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output is wrong, do they understand why?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 the tool. Copy the result. Send it upward.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Test the assumptions. Challenge the output. Defend the 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decide how that learning happens now.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YOU MANAGE PEOPLE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explain what I contributed?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may increase learning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AN ANTI-AI ARGUMENT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jobs will answer differently.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Human review may remain essential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task may truly disappear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Audit one task AI now helps you with.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the third column is almost empty, ask where the 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